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CC5DE3"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CC5DE3" w:rsidRDefault="000A03B2" w:rsidP="00DE264A">
            <w:pPr>
              <w:tabs>
                <w:tab w:val="left" w:pos="-108"/>
              </w:tabs>
              <w:ind w:left="-108"/>
              <w:jc w:val="left"/>
              <w:rPr>
                <w:rFonts w:cs="Arial"/>
                <w:b/>
                <w:bCs/>
                <w:i/>
                <w:iCs/>
                <w:color w:val="000066"/>
                <w:sz w:val="12"/>
                <w:szCs w:val="12"/>
                <w:lang w:eastAsia="it-IT"/>
              </w:rPr>
            </w:pPr>
            <w:r w:rsidRPr="00CC5DE3">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C5DE3">
              <w:rPr>
                <w:rFonts w:ascii="AdvP6960" w:hAnsi="AdvP6960" w:cs="AdvP6960"/>
                <w:color w:val="241F20"/>
                <w:szCs w:val="18"/>
                <w:lang w:eastAsia="it-IT"/>
              </w:rPr>
              <w:t xml:space="preserve"> </w:t>
            </w:r>
            <w:r w:rsidRPr="00CC5DE3">
              <w:rPr>
                <w:rFonts w:cs="Arial"/>
                <w:b/>
                <w:bCs/>
                <w:i/>
                <w:iCs/>
                <w:color w:val="000066"/>
                <w:sz w:val="24"/>
                <w:szCs w:val="24"/>
                <w:lang w:eastAsia="it-IT"/>
              </w:rPr>
              <w:t>CHEMICAL ENGINEERING</w:t>
            </w:r>
            <w:r w:rsidRPr="00CC5DE3">
              <w:rPr>
                <w:rFonts w:cs="Arial"/>
                <w:b/>
                <w:bCs/>
                <w:i/>
                <w:iCs/>
                <w:color w:val="0033FF"/>
                <w:sz w:val="24"/>
                <w:szCs w:val="24"/>
                <w:lang w:eastAsia="it-IT"/>
              </w:rPr>
              <w:t xml:space="preserve"> </w:t>
            </w:r>
            <w:r w:rsidRPr="00CC5DE3">
              <w:rPr>
                <w:rFonts w:cs="Arial"/>
                <w:b/>
                <w:bCs/>
                <w:i/>
                <w:iCs/>
                <w:color w:val="666666"/>
                <w:sz w:val="24"/>
                <w:szCs w:val="24"/>
                <w:lang w:eastAsia="it-IT"/>
              </w:rPr>
              <w:t>TRANSACTIONS</w:t>
            </w:r>
            <w:r w:rsidRPr="00CC5DE3">
              <w:rPr>
                <w:color w:val="333333"/>
                <w:sz w:val="24"/>
                <w:szCs w:val="24"/>
                <w:lang w:eastAsia="it-IT"/>
              </w:rPr>
              <w:t xml:space="preserve"> </w:t>
            </w:r>
            <w:r w:rsidRPr="00CC5DE3">
              <w:rPr>
                <w:rFonts w:cs="Arial"/>
                <w:b/>
                <w:bCs/>
                <w:i/>
                <w:iCs/>
                <w:color w:val="000066"/>
                <w:sz w:val="27"/>
                <w:szCs w:val="27"/>
                <w:lang w:eastAsia="it-IT"/>
              </w:rPr>
              <w:br/>
            </w:r>
          </w:p>
          <w:p w14:paraId="4B780582" w14:textId="05BC381F" w:rsidR="000A03B2" w:rsidRPr="00CC5DE3" w:rsidRDefault="00A76EFC" w:rsidP="001D21AF">
            <w:pPr>
              <w:tabs>
                <w:tab w:val="left" w:pos="-108"/>
              </w:tabs>
              <w:ind w:left="-108"/>
              <w:rPr>
                <w:rFonts w:cs="Arial"/>
                <w:b/>
                <w:bCs/>
                <w:i/>
                <w:iCs/>
                <w:color w:val="000066"/>
                <w:sz w:val="22"/>
                <w:szCs w:val="22"/>
                <w:lang w:eastAsia="it-IT"/>
              </w:rPr>
            </w:pPr>
            <w:r w:rsidRPr="00CC5DE3">
              <w:rPr>
                <w:rFonts w:cs="Arial"/>
                <w:b/>
                <w:bCs/>
                <w:i/>
                <w:iCs/>
                <w:color w:val="000066"/>
                <w:sz w:val="22"/>
                <w:szCs w:val="22"/>
                <w:lang w:eastAsia="it-IT"/>
              </w:rPr>
              <w:t>VOL.</w:t>
            </w:r>
            <w:r w:rsidR="007B48F9" w:rsidRPr="00CC5DE3">
              <w:rPr>
                <w:rFonts w:cs="Arial"/>
                <w:b/>
                <w:bCs/>
                <w:i/>
                <w:iCs/>
                <w:color w:val="000066"/>
                <w:sz w:val="22"/>
                <w:szCs w:val="22"/>
                <w:lang w:eastAsia="it-IT"/>
              </w:rPr>
              <w:t>,</w:t>
            </w:r>
            <w:r w:rsidR="00FA5F5F" w:rsidRPr="00CC5DE3">
              <w:rPr>
                <w:rFonts w:cs="Arial"/>
                <w:b/>
                <w:bCs/>
                <w:i/>
                <w:iCs/>
                <w:color w:val="000066"/>
                <w:sz w:val="22"/>
                <w:szCs w:val="22"/>
                <w:lang w:eastAsia="it-IT"/>
              </w:rPr>
              <w:t xml:space="preserve"> </w:t>
            </w:r>
            <w:r w:rsidR="0030152C" w:rsidRPr="00CC5DE3">
              <w:rPr>
                <w:rFonts w:cs="Arial"/>
                <w:b/>
                <w:bCs/>
                <w:i/>
                <w:iCs/>
                <w:color w:val="000066"/>
                <w:sz w:val="22"/>
                <w:szCs w:val="22"/>
                <w:lang w:eastAsia="it-IT"/>
              </w:rPr>
              <w:t>202</w:t>
            </w:r>
            <w:r w:rsidR="00723169" w:rsidRPr="00CC5DE3">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CC5DE3" w:rsidRDefault="000A03B2" w:rsidP="00CD5FE2">
            <w:pPr>
              <w:spacing w:line="140" w:lineRule="atLeast"/>
              <w:jc w:val="right"/>
              <w:rPr>
                <w:rFonts w:cs="Arial"/>
                <w:sz w:val="14"/>
                <w:szCs w:val="14"/>
              </w:rPr>
            </w:pPr>
            <w:r w:rsidRPr="00CC5DE3">
              <w:rPr>
                <w:rFonts w:cs="Arial"/>
                <w:sz w:val="14"/>
                <w:szCs w:val="14"/>
              </w:rPr>
              <w:t>A publication of</w:t>
            </w:r>
          </w:p>
          <w:p w14:paraId="599E5441" w14:textId="77777777" w:rsidR="000A03B2" w:rsidRPr="00CC5DE3" w:rsidRDefault="000A03B2" w:rsidP="00CD5FE2">
            <w:pPr>
              <w:jc w:val="right"/>
            </w:pPr>
            <w:r w:rsidRPr="00CC5DE3">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CC5DE3" w14:paraId="380FA3CD" w14:textId="77777777" w:rsidTr="00DE264A">
        <w:trPr>
          <w:trHeight w:val="567"/>
          <w:jc w:val="center"/>
        </w:trPr>
        <w:tc>
          <w:tcPr>
            <w:tcW w:w="6946" w:type="dxa"/>
            <w:vMerge/>
            <w:tcBorders>
              <w:right w:val="single" w:sz="4" w:space="0" w:color="auto"/>
            </w:tcBorders>
          </w:tcPr>
          <w:p w14:paraId="39E5E4C1" w14:textId="77777777" w:rsidR="000A03B2" w:rsidRPr="00CC5DE3"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CC5DE3" w:rsidRDefault="000A03B2" w:rsidP="00CD5FE2">
            <w:pPr>
              <w:spacing w:line="140" w:lineRule="atLeast"/>
              <w:jc w:val="right"/>
              <w:rPr>
                <w:rFonts w:cs="Arial"/>
                <w:sz w:val="14"/>
                <w:szCs w:val="14"/>
              </w:rPr>
            </w:pPr>
            <w:r w:rsidRPr="00CC5DE3">
              <w:rPr>
                <w:rFonts w:cs="Arial"/>
                <w:sz w:val="14"/>
                <w:szCs w:val="14"/>
              </w:rPr>
              <w:t>The Italian Association</w:t>
            </w:r>
          </w:p>
          <w:p w14:paraId="7522B1D2" w14:textId="77777777" w:rsidR="000A03B2" w:rsidRPr="00CC5DE3" w:rsidRDefault="000A03B2" w:rsidP="00CD5FE2">
            <w:pPr>
              <w:spacing w:line="140" w:lineRule="atLeast"/>
              <w:jc w:val="right"/>
              <w:rPr>
                <w:rFonts w:cs="Arial"/>
                <w:sz w:val="14"/>
                <w:szCs w:val="14"/>
              </w:rPr>
            </w:pPr>
            <w:r w:rsidRPr="00CC5DE3">
              <w:rPr>
                <w:rFonts w:cs="Arial"/>
                <w:sz w:val="14"/>
                <w:szCs w:val="14"/>
              </w:rPr>
              <w:t>of Chemical Engineering</w:t>
            </w:r>
          </w:p>
          <w:p w14:paraId="4F0CC5DE" w14:textId="47FDB2FC" w:rsidR="000A03B2" w:rsidRPr="00CC5DE3" w:rsidRDefault="000D0268" w:rsidP="00CD5FE2">
            <w:pPr>
              <w:spacing w:line="140" w:lineRule="atLeast"/>
              <w:jc w:val="right"/>
              <w:rPr>
                <w:rFonts w:cs="Arial"/>
                <w:sz w:val="13"/>
                <w:szCs w:val="13"/>
              </w:rPr>
            </w:pPr>
            <w:r w:rsidRPr="00CC5DE3">
              <w:rPr>
                <w:rFonts w:cs="Arial"/>
                <w:sz w:val="13"/>
                <w:szCs w:val="13"/>
              </w:rPr>
              <w:t>Online at www.cetjournal.it</w:t>
            </w:r>
          </w:p>
        </w:tc>
      </w:tr>
      <w:tr w:rsidR="000A03B2" w:rsidRPr="00CC5DE3" w14:paraId="2D1B7169" w14:textId="77777777" w:rsidTr="00DE264A">
        <w:trPr>
          <w:trHeight w:val="68"/>
          <w:jc w:val="center"/>
        </w:trPr>
        <w:tc>
          <w:tcPr>
            <w:tcW w:w="8789" w:type="dxa"/>
            <w:gridSpan w:val="2"/>
          </w:tcPr>
          <w:p w14:paraId="1D8DD3C9" w14:textId="46661ED6" w:rsidR="00AA7D26" w:rsidRPr="00CC5DE3" w:rsidRDefault="00AA7D26" w:rsidP="00AA7D26">
            <w:pPr>
              <w:ind w:left="-107"/>
              <w:outlineLvl w:val="2"/>
              <w:rPr>
                <w:rFonts w:ascii="Tahoma" w:hAnsi="Tahoma" w:cs="Tahoma"/>
                <w:bCs/>
                <w:color w:val="000000"/>
                <w:sz w:val="14"/>
                <w:szCs w:val="14"/>
                <w:lang w:eastAsia="it-IT"/>
              </w:rPr>
            </w:pPr>
            <w:r w:rsidRPr="00CC5DE3">
              <w:rPr>
                <w:rFonts w:ascii="Tahoma" w:hAnsi="Tahoma" w:cs="Tahoma"/>
                <w:iCs/>
                <w:color w:val="333333"/>
                <w:sz w:val="14"/>
                <w:szCs w:val="14"/>
                <w:lang w:eastAsia="it-IT"/>
              </w:rPr>
              <w:t>Guest Editors:</w:t>
            </w:r>
            <w:r w:rsidRPr="00CC5DE3">
              <w:rPr>
                <w:rFonts w:ascii="Tahoma" w:hAnsi="Tahoma" w:cs="Tahoma"/>
                <w:color w:val="000000"/>
                <w:sz w:val="14"/>
                <w:szCs w:val="14"/>
                <w:shd w:val="clear" w:color="auto" w:fill="FFFFFF"/>
              </w:rPr>
              <w:t xml:space="preserve"> </w:t>
            </w:r>
            <w:r w:rsidR="00843EAC" w:rsidRPr="00CC5DE3">
              <w:rPr>
                <w:rFonts w:ascii="Tahoma" w:hAnsi="Tahoma" w:cs="Tahoma"/>
                <w:color w:val="000000"/>
                <w:sz w:val="14"/>
                <w:szCs w:val="14"/>
                <w:shd w:val="clear" w:color="auto" w:fill="FFFFFF"/>
              </w:rPr>
              <w:t xml:space="preserve">Marco </w:t>
            </w:r>
            <w:proofErr w:type="spellStart"/>
            <w:r w:rsidR="00843EAC" w:rsidRPr="00CC5DE3">
              <w:rPr>
                <w:rFonts w:ascii="Tahoma" w:hAnsi="Tahoma" w:cs="Tahoma"/>
                <w:color w:val="000000"/>
                <w:sz w:val="14"/>
                <w:szCs w:val="14"/>
                <w:shd w:val="clear" w:color="auto" w:fill="FFFFFF"/>
              </w:rPr>
              <w:t>Bravi</w:t>
            </w:r>
            <w:proofErr w:type="spellEnd"/>
            <w:r w:rsidR="00843EAC" w:rsidRPr="00CC5DE3">
              <w:rPr>
                <w:rFonts w:ascii="Tahoma" w:hAnsi="Tahoma" w:cs="Tahoma"/>
                <w:color w:val="000000"/>
                <w:sz w:val="14"/>
                <w:szCs w:val="14"/>
                <w:shd w:val="clear" w:color="auto" w:fill="FFFFFF"/>
              </w:rPr>
              <w:t xml:space="preserve">, Antonio </w:t>
            </w:r>
            <w:proofErr w:type="spellStart"/>
            <w:r w:rsidR="00843EAC" w:rsidRPr="00CC5DE3">
              <w:rPr>
                <w:rFonts w:ascii="Tahoma" w:hAnsi="Tahoma" w:cs="Tahoma"/>
                <w:color w:val="000000"/>
                <w:sz w:val="14"/>
                <w:szCs w:val="14"/>
                <w:shd w:val="clear" w:color="auto" w:fill="FFFFFF"/>
              </w:rPr>
              <w:t>Marzocchella</w:t>
            </w:r>
            <w:proofErr w:type="spellEnd"/>
            <w:r w:rsidR="00843EAC" w:rsidRPr="00CC5DE3">
              <w:rPr>
                <w:rFonts w:ascii="Tahoma" w:hAnsi="Tahoma" w:cs="Tahoma"/>
                <w:color w:val="000000"/>
                <w:sz w:val="14"/>
                <w:szCs w:val="14"/>
                <w:shd w:val="clear" w:color="auto" w:fill="FFFFFF"/>
              </w:rPr>
              <w:t>, Giuseppe Caputo</w:t>
            </w:r>
          </w:p>
          <w:p w14:paraId="1B0F1814" w14:textId="62155F09" w:rsidR="000A03B2" w:rsidRPr="00CC5DE3" w:rsidRDefault="00AA7D26" w:rsidP="00AA7D26">
            <w:pPr>
              <w:tabs>
                <w:tab w:val="left" w:pos="-108"/>
              </w:tabs>
              <w:spacing w:line="140" w:lineRule="atLeast"/>
              <w:ind w:left="-107"/>
              <w:jc w:val="left"/>
            </w:pPr>
            <w:r w:rsidRPr="00CC5DE3">
              <w:rPr>
                <w:rFonts w:ascii="Tahoma" w:hAnsi="Tahoma" w:cs="Tahoma"/>
                <w:iCs/>
                <w:color w:val="333333"/>
                <w:sz w:val="14"/>
                <w:szCs w:val="14"/>
                <w:lang w:eastAsia="it-IT"/>
              </w:rPr>
              <w:t>Copyright © 202</w:t>
            </w:r>
            <w:r w:rsidR="00843EAC" w:rsidRPr="00CC5DE3">
              <w:rPr>
                <w:rFonts w:ascii="Tahoma" w:hAnsi="Tahoma" w:cs="Tahoma"/>
                <w:iCs/>
                <w:color w:val="333333"/>
                <w:sz w:val="14"/>
                <w:szCs w:val="14"/>
                <w:lang w:eastAsia="it-IT"/>
              </w:rPr>
              <w:t>4</w:t>
            </w:r>
            <w:r w:rsidRPr="00CC5DE3">
              <w:rPr>
                <w:rFonts w:ascii="Tahoma" w:hAnsi="Tahoma" w:cs="Tahoma"/>
                <w:iCs/>
                <w:color w:val="333333"/>
                <w:sz w:val="14"/>
                <w:szCs w:val="14"/>
                <w:lang w:eastAsia="it-IT"/>
              </w:rPr>
              <w:t xml:space="preserve">, AIDIC </w:t>
            </w:r>
            <w:proofErr w:type="spellStart"/>
            <w:r w:rsidRPr="00CC5DE3">
              <w:rPr>
                <w:rFonts w:ascii="Tahoma" w:hAnsi="Tahoma" w:cs="Tahoma"/>
                <w:iCs/>
                <w:color w:val="333333"/>
                <w:sz w:val="14"/>
                <w:szCs w:val="14"/>
                <w:lang w:eastAsia="it-IT"/>
              </w:rPr>
              <w:t>Servizi</w:t>
            </w:r>
            <w:proofErr w:type="spellEnd"/>
            <w:r w:rsidRPr="00CC5DE3">
              <w:rPr>
                <w:rFonts w:ascii="Tahoma" w:hAnsi="Tahoma" w:cs="Tahoma"/>
                <w:iCs/>
                <w:color w:val="333333"/>
                <w:sz w:val="14"/>
                <w:szCs w:val="14"/>
                <w:lang w:eastAsia="it-IT"/>
              </w:rPr>
              <w:t xml:space="preserve"> </w:t>
            </w:r>
            <w:proofErr w:type="spellStart"/>
            <w:r w:rsidRPr="00CC5DE3">
              <w:rPr>
                <w:rFonts w:ascii="Tahoma" w:hAnsi="Tahoma" w:cs="Tahoma"/>
                <w:iCs/>
                <w:color w:val="333333"/>
                <w:sz w:val="14"/>
                <w:szCs w:val="14"/>
                <w:lang w:eastAsia="it-IT"/>
              </w:rPr>
              <w:t>S.r.l</w:t>
            </w:r>
            <w:proofErr w:type="spellEnd"/>
            <w:r w:rsidRPr="00CC5DE3">
              <w:rPr>
                <w:rFonts w:ascii="Tahoma" w:hAnsi="Tahoma" w:cs="Tahoma"/>
                <w:iCs/>
                <w:color w:val="333333"/>
                <w:sz w:val="14"/>
                <w:szCs w:val="14"/>
                <w:lang w:eastAsia="it-IT"/>
              </w:rPr>
              <w:t>.</w:t>
            </w:r>
            <w:r w:rsidRPr="00CC5DE3">
              <w:rPr>
                <w:rFonts w:ascii="Tahoma" w:hAnsi="Tahoma" w:cs="Tahoma"/>
                <w:iCs/>
                <w:color w:val="333333"/>
                <w:sz w:val="14"/>
                <w:szCs w:val="14"/>
                <w:lang w:eastAsia="it-IT"/>
              </w:rPr>
              <w:br/>
            </w:r>
            <w:r w:rsidRPr="00CC5DE3">
              <w:rPr>
                <w:rFonts w:ascii="Tahoma" w:hAnsi="Tahoma" w:cs="Tahoma"/>
                <w:b/>
                <w:iCs/>
                <w:color w:val="000000"/>
                <w:sz w:val="14"/>
                <w:szCs w:val="14"/>
                <w:lang w:eastAsia="it-IT"/>
              </w:rPr>
              <w:t>ISBN</w:t>
            </w:r>
            <w:r w:rsidRPr="00CC5DE3">
              <w:rPr>
                <w:rFonts w:ascii="Tahoma" w:hAnsi="Tahoma" w:cs="Tahoma"/>
                <w:iCs/>
                <w:color w:val="000000"/>
                <w:sz w:val="14"/>
                <w:szCs w:val="14"/>
                <w:lang w:eastAsia="it-IT"/>
              </w:rPr>
              <w:t xml:space="preserve"> </w:t>
            </w:r>
            <w:r w:rsidR="008B7C03" w:rsidRPr="00CC5DE3">
              <w:rPr>
                <w:rFonts w:ascii="Tahoma" w:hAnsi="Tahoma" w:cs="Tahoma"/>
                <w:sz w:val="14"/>
                <w:szCs w:val="14"/>
              </w:rPr>
              <w:t>979-12-81206</w:t>
            </w:r>
            <w:r w:rsidRPr="00CC5DE3">
              <w:rPr>
                <w:rFonts w:ascii="Tahoma" w:hAnsi="Tahoma" w:cs="Tahoma"/>
                <w:sz w:val="14"/>
                <w:szCs w:val="14"/>
              </w:rPr>
              <w:t>-</w:t>
            </w:r>
            <w:r w:rsidR="00723169" w:rsidRPr="00CC5DE3">
              <w:rPr>
                <w:rFonts w:ascii="Tahoma" w:hAnsi="Tahoma" w:cs="Tahoma"/>
                <w:sz w:val="14"/>
                <w:szCs w:val="14"/>
              </w:rPr>
              <w:t>10-6</w:t>
            </w:r>
            <w:r w:rsidRPr="00CC5DE3">
              <w:rPr>
                <w:rFonts w:ascii="Tahoma" w:hAnsi="Tahoma" w:cs="Tahoma"/>
                <w:iCs/>
                <w:color w:val="333333"/>
                <w:sz w:val="14"/>
                <w:szCs w:val="14"/>
                <w:lang w:eastAsia="it-IT"/>
              </w:rPr>
              <w:t xml:space="preserve">; </w:t>
            </w:r>
            <w:r w:rsidRPr="00CC5DE3">
              <w:rPr>
                <w:rFonts w:ascii="Tahoma" w:hAnsi="Tahoma" w:cs="Tahoma"/>
                <w:b/>
                <w:iCs/>
                <w:color w:val="333333"/>
                <w:sz w:val="14"/>
                <w:szCs w:val="14"/>
                <w:lang w:eastAsia="it-IT"/>
              </w:rPr>
              <w:t>ISSN</w:t>
            </w:r>
            <w:r w:rsidRPr="00CC5DE3">
              <w:rPr>
                <w:rFonts w:ascii="Tahoma" w:hAnsi="Tahoma" w:cs="Tahoma"/>
                <w:iCs/>
                <w:color w:val="333333"/>
                <w:sz w:val="14"/>
                <w:szCs w:val="14"/>
                <w:lang w:eastAsia="it-IT"/>
              </w:rPr>
              <w:t xml:space="preserve"> 2283-9216</w:t>
            </w:r>
          </w:p>
        </w:tc>
      </w:tr>
    </w:tbl>
    <w:p w14:paraId="2E667253" w14:textId="2C7B52B9" w:rsidR="00E978D0" w:rsidRPr="00CC5DE3" w:rsidRDefault="0048053F" w:rsidP="00E978D0">
      <w:pPr>
        <w:pStyle w:val="CETTitle"/>
        <w:rPr>
          <w:lang w:val="en-US"/>
        </w:rPr>
      </w:pPr>
      <w:r w:rsidRPr="00CC5DE3">
        <w:rPr>
          <w:lang w:val="en-US"/>
        </w:rPr>
        <w:t>Smart-delivery systems in Nano-Enabled Agriculture.</w:t>
      </w:r>
      <w:r w:rsidR="00265A34" w:rsidRPr="00CC5DE3">
        <w:rPr>
          <w:lang w:val="en-US"/>
        </w:rPr>
        <w:br/>
      </w:r>
      <w:r w:rsidRPr="00CC5DE3">
        <w:rPr>
          <w:lang w:val="en-US"/>
        </w:rPr>
        <w:t>The current state-of-the-art on nanohydroxyapatite</w:t>
      </w:r>
    </w:p>
    <w:p w14:paraId="0488FED2" w14:textId="7466D99E" w:rsidR="00B57E6F" w:rsidRPr="00CC5DE3" w:rsidRDefault="0048053F" w:rsidP="00B57E6F">
      <w:pPr>
        <w:pStyle w:val="CETAuthors"/>
        <w:rPr>
          <w:noProof w:val="0"/>
          <w:lang w:val="en-US"/>
        </w:rPr>
      </w:pPr>
      <w:r w:rsidRPr="00CC5DE3">
        <w:rPr>
          <w:noProof w:val="0"/>
          <w:lang w:val="en-US"/>
        </w:rPr>
        <w:t>Laura Pilotto</w:t>
      </w:r>
      <w:r w:rsidR="009A177B" w:rsidRPr="00CC5DE3">
        <w:rPr>
          <w:noProof w:val="0"/>
          <w:vertAlign w:val="superscript"/>
          <w:lang w:val="en-US"/>
        </w:rPr>
        <w:t>1,2</w:t>
      </w:r>
      <w:r w:rsidR="00B57E6F" w:rsidRPr="00CC5DE3">
        <w:rPr>
          <w:noProof w:val="0"/>
          <w:lang w:val="en-US"/>
        </w:rPr>
        <w:t xml:space="preserve">, </w:t>
      </w:r>
      <w:r w:rsidRPr="00CC5DE3">
        <w:rPr>
          <w:noProof w:val="0"/>
          <w:lang w:val="en-US"/>
        </w:rPr>
        <w:t>Luca Marchiol</w:t>
      </w:r>
      <w:r w:rsidR="009A177B" w:rsidRPr="00CC5DE3">
        <w:rPr>
          <w:noProof w:val="0"/>
          <w:vertAlign w:val="superscript"/>
          <w:lang w:val="en-US"/>
        </w:rPr>
        <w:t>1</w:t>
      </w:r>
      <w:r w:rsidRPr="00CC5DE3">
        <w:rPr>
          <w:noProof w:val="0"/>
          <w:lang w:val="en-US"/>
        </w:rPr>
        <w:t>*, Guido Fellet</w:t>
      </w:r>
      <w:r w:rsidR="009A177B" w:rsidRPr="00CC5DE3">
        <w:rPr>
          <w:noProof w:val="0"/>
          <w:vertAlign w:val="superscript"/>
          <w:lang w:val="en-US"/>
        </w:rPr>
        <w:t>1</w:t>
      </w:r>
    </w:p>
    <w:p w14:paraId="3D72B0B0" w14:textId="23D2176B" w:rsidR="00B57E6F" w:rsidRPr="00CC5DE3" w:rsidRDefault="009A177B" w:rsidP="00B57E6F">
      <w:pPr>
        <w:pStyle w:val="CETAddress"/>
        <w:rPr>
          <w:noProof w:val="0"/>
          <w:lang w:val="en-US"/>
        </w:rPr>
      </w:pPr>
      <w:r w:rsidRPr="00CC5DE3">
        <w:rPr>
          <w:noProof w:val="0"/>
          <w:vertAlign w:val="superscript"/>
          <w:lang w:val="en-US"/>
        </w:rPr>
        <w:t>1</w:t>
      </w:r>
      <w:r w:rsidRPr="00CC5DE3">
        <w:rPr>
          <w:noProof w:val="0"/>
          <w:lang w:val="en-US"/>
        </w:rPr>
        <w:t xml:space="preserve"> </w:t>
      </w:r>
      <w:r w:rsidR="0048053F" w:rsidRPr="00CC5DE3">
        <w:rPr>
          <w:noProof w:val="0"/>
          <w:lang w:val="en-US"/>
        </w:rPr>
        <w:t xml:space="preserve">DI4A </w:t>
      </w:r>
      <w:r w:rsidR="003A50A8" w:rsidRPr="00CC5DE3">
        <w:rPr>
          <w:noProof w:val="0"/>
          <w:lang w:val="en-US"/>
        </w:rPr>
        <w:t>–</w:t>
      </w:r>
      <w:r w:rsidR="0048053F" w:rsidRPr="00CC5DE3">
        <w:rPr>
          <w:noProof w:val="0"/>
          <w:lang w:val="en-US"/>
        </w:rPr>
        <w:t xml:space="preserve"> D</w:t>
      </w:r>
      <w:r w:rsidR="003A50A8" w:rsidRPr="00CC5DE3">
        <w:rPr>
          <w:noProof w:val="0"/>
          <w:lang w:val="en-US"/>
        </w:rPr>
        <w:t>epartment of Agri-Food</w:t>
      </w:r>
      <w:r w:rsidR="0048053F" w:rsidRPr="00CC5DE3">
        <w:rPr>
          <w:noProof w:val="0"/>
          <w:lang w:val="en-US"/>
        </w:rPr>
        <w:t xml:space="preserve">, </w:t>
      </w:r>
      <w:r w:rsidR="003A50A8" w:rsidRPr="00CC5DE3">
        <w:rPr>
          <w:noProof w:val="0"/>
          <w:lang w:val="en-US"/>
        </w:rPr>
        <w:t>Environmental and Animal Sciences</w:t>
      </w:r>
      <w:r w:rsidR="0048053F" w:rsidRPr="00CC5DE3">
        <w:rPr>
          <w:noProof w:val="0"/>
          <w:lang w:val="en-US"/>
        </w:rPr>
        <w:t>, Universit</w:t>
      </w:r>
      <w:r w:rsidR="003A50A8" w:rsidRPr="00CC5DE3">
        <w:rPr>
          <w:noProof w:val="0"/>
          <w:lang w:val="en-US"/>
        </w:rPr>
        <w:t>y</w:t>
      </w:r>
      <w:r w:rsidR="0048053F" w:rsidRPr="00CC5DE3">
        <w:rPr>
          <w:noProof w:val="0"/>
          <w:lang w:val="en-US"/>
        </w:rPr>
        <w:t xml:space="preserve"> </w:t>
      </w:r>
      <w:r w:rsidR="003A50A8" w:rsidRPr="00CC5DE3">
        <w:rPr>
          <w:noProof w:val="0"/>
          <w:lang w:val="en-US"/>
        </w:rPr>
        <w:t>of</w:t>
      </w:r>
      <w:r w:rsidR="0048053F" w:rsidRPr="00CC5DE3">
        <w:rPr>
          <w:noProof w:val="0"/>
          <w:lang w:val="en-US"/>
        </w:rPr>
        <w:t xml:space="preserve"> Udine</w:t>
      </w:r>
      <w:r w:rsidR="003A50A8" w:rsidRPr="00CC5DE3">
        <w:rPr>
          <w:noProof w:val="0"/>
          <w:lang w:val="en-US"/>
        </w:rPr>
        <w:t xml:space="preserve"> (I)</w:t>
      </w:r>
    </w:p>
    <w:p w14:paraId="1E138F7A" w14:textId="357BADE3" w:rsidR="009A177B" w:rsidRPr="00CC5DE3" w:rsidRDefault="009A177B" w:rsidP="00F92B14">
      <w:pPr>
        <w:pStyle w:val="CETemail"/>
        <w:spacing w:after="0"/>
        <w:rPr>
          <w:noProof w:val="0"/>
          <w:lang w:val="en-US"/>
        </w:rPr>
      </w:pPr>
      <w:r w:rsidRPr="00CC5DE3">
        <w:rPr>
          <w:noProof w:val="0"/>
          <w:vertAlign w:val="superscript"/>
          <w:lang w:val="en-US"/>
        </w:rPr>
        <w:t>2</w:t>
      </w:r>
      <w:r w:rsidRPr="00CC5DE3">
        <w:rPr>
          <w:noProof w:val="0"/>
          <w:lang w:val="en-US"/>
        </w:rPr>
        <w:t xml:space="preserve"> DSV – Department of Life Sciences, University of Udine (I)</w:t>
      </w:r>
    </w:p>
    <w:p w14:paraId="2302788B" w14:textId="469DEF21" w:rsidR="0048053F" w:rsidRPr="00CC5DE3" w:rsidRDefault="005A0860" w:rsidP="0048053F">
      <w:pPr>
        <w:pStyle w:val="CETemail"/>
        <w:rPr>
          <w:noProof w:val="0"/>
          <w:lang w:val="en-US"/>
        </w:rPr>
      </w:pPr>
      <w:hyperlink r:id="rId10" w:history="1">
        <w:r w:rsidR="009A177B" w:rsidRPr="00CC5DE3">
          <w:rPr>
            <w:rStyle w:val="Collegamentoipertestuale"/>
            <w:noProof w:val="0"/>
            <w:lang w:val="en-US"/>
          </w:rPr>
          <w:t>luca.marchiol@uniud.it</w:t>
        </w:r>
      </w:hyperlink>
    </w:p>
    <w:p w14:paraId="2930371F" w14:textId="6B1D3194" w:rsidR="0048053F" w:rsidRPr="00CC5DE3" w:rsidRDefault="0048053F" w:rsidP="00A517A7">
      <w:pPr>
        <w:pStyle w:val="CETBodytext"/>
      </w:pPr>
      <w:r w:rsidRPr="00CC5DE3">
        <w:t>The development of nanotechnologies in the last 25 years has considerably improved, even revolutionized, many technology and industry sectors: information technology, medicine, transportation, energy, environmental science, and everyday products, as well.</w:t>
      </w:r>
      <w:r w:rsidR="00D3396B" w:rsidRPr="00CC5DE3">
        <w:t xml:space="preserve"> </w:t>
      </w:r>
      <w:r w:rsidRPr="00CC5DE3">
        <w:t>Nano-enabled agriculture (NEA) describes the application of nanotechnology in agriculture to improve the performance of agrochemicals.</w:t>
      </w:r>
      <w:r w:rsidR="00D3396B" w:rsidRPr="00CC5DE3">
        <w:t xml:space="preserve"> </w:t>
      </w:r>
      <w:r w:rsidRPr="00CC5DE3">
        <w:t>NEA mainly focuses on improving the agrochemical uptake efficiency by crops, enhancing plant growth and food safety, and mitigating the environmental impacts of agriculture. However, nanotechnology applications in the agricultural chain are still marginal and have not yet made it to the market in comparison with other industrial sectors. Compared to other productive sectors, the main reason for the slow development of the NAE is due to the specific peculiarities of agriculture.</w:t>
      </w:r>
    </w:p>
    <w:p w14:paraId="0EE79342" w14:textId="410370E8" w:rsidR="00D3396B" w:rsidRPr="00CC5DE3" w:rsidRDefault="00D3396B" w:rsidP="00A517A7">
      <w:pPr>
        <w:pStyle w:val="CETBodytext"/>
      </w:pPr>
      <w:r w:rsidRPr="00CC5DE3">
        <w:t xml:space="preserve">The use of renewable materials deriving from plant and animal waste biomass to produce nanosized delivery systems in NEA represents a crucial step towards the </w:t>
      </w:r>
      <w:r w:rsidR="00CC5DE3" w:rsidRPr="00CC5DE3">
        <w:t>fulfillment</w:t>
      </w:r>
      <w:r w:rsidRPr="00CC5DE3">
        <w:t xml:space="preserve"> of </w:t>
      </w:r>
      <w:r w:rsidR="00CC5DE3" w:rsidRPr="00CC5DE3">
        <w:t xml:space="preserve">a </w:t>
      </w:r>
      <w:r w:rsidRPr="00CC5DE3">
        <w:t xml:space="preserve">circular economy. A paradigmatic example concerns the </w:t>
      </w:r>
      <w:r w:rsidR="00CC5DE3">
        <w:t>valorization</w:t>
      </w:r>
      <w:r w:rsidRPr="00CC5DE3">
        <w:t xml:space="preserve"> of hydroxyapatite</w:t>
      </w:r>
      <w:r w:rsidR="00D638A1" w:rsidRPr="00CC5DE3">
        <w:t xml:space="preserve"> (</w:t>
      </w:r>
      <w:proofErr w:type="spellStart"/>
      <w:r w:rsidR="00D638A1" w:rsidRPr="00CC5DE3">
        <w:t>nHAP</w:t>
      </w:r>
      <w:proofErr w:type="spellEnd"/>
      <w:r w:rsidR="00D638A1" w:rsidRPr="00CC5DE3">
        <w:t>)</w:t>
      </w:r>
      <w:r w:rsidRPr="00CC5DE3">
        <w:t xml:space="preserve">. The paper provides updates on the use of </w:t>
      </w:r>
      <w:proofErr w:type="spellStart"/>
      <w:r w:rsidRPr="00CC5DE3">
        <w:t>nHAP</w:t>
      </w:r>
      <w:proofErr w:type="spellEnd"/>
      <w:r w:rsidRPr="00CC5DE3">
        <w:t xml:space="preserve"> for sustainable crop phosphorus fertilization and the development of nanohybrids to provide other macro-nutrients loaded on the </w:t>
      </w:r>
      <w:proofErr w:type="spellStart"/>
      <w:r w:rsidRPr="00CC5DE3">
        <w:t>nHAP</w:t>
      </w:r>
      <w:proofErr w:type="spellEnd"/>
      <w:r w:rsidRPr="00CC5DE3">
        <w:t xml:space="preserve"> structure.</w:t>
      </w:r>
    </w:p>
    <w:p w14:paraId="476B2F2E" w14:textId="6BD7EF45" w:rsidR="00600535" w:rsidRPr="00CC5DE3" w:rsidRDefault="00600535" w:rsidP="00600535">
      <w:pPr>
        <w:pStyle w:val="CETHeading1"/>
      </w:pPr>
      <w:r w:rsidRPr="00CC5DE3">
        <w:t>Introduction</w:t>
      </w:r>
    </w:p>
    <w:p w14:paraId="37DDB446" w14:textId="16347E41" w:rsidR="001540B2" w:rsidRPr="00CC5DE3" w:rsidRDefault="00B423BD" w:rsidP="00134453">
      <w:pPr>
        <w:pStyle w:val="CETBodytext"/>
      </w:pPr>
      <w:r w:rsidRPr="00CC5DE3">
        <w:t xml:space="preserve">Agriculture produces food and other </w:t>
      </w:r>
      <w:r w:rsidR="00CC5DE3">
        <w:t>fundamental</w:t>
      </w:r>
      <w:r w:rsidRPr="00CC5DE3">
        <w:t xml:space="preserve"> goods for society such as biofuels, fibers</w:t>
      </w:r>
      <w:r w:rsidR="00CC5DE3">
        <w:t>,</w:t>
      </w:r>
      <w:r w:rsidRPr="00CC5DE3">
        <w:t xml:space="preserve"> and biomolecules for both medicine and industrial uses, having also significant interactions </w:t>
      </w:r>
      <w:r w:rsidR="00F26100">
        <w:t>with</w:t>
      </w:r>
      <w:r w:rsidRPr="00CC5DE3">
        <w:t xml:space="preserve"> </w:t>
      </w:r>
      <w:r w:rsidR="00F26100">
        <w:t xml:space="preserve">the </w:t>
      </w:r>
      <w:r w:rsidRPr="00CC5DE3">
        <w:t xml:space="preserve">environment and society (Springmann et al. 2018). </w:t>
      </w:r>
      <w:r w:rsidR="002A3E4C" w:rsidRPr="00CC5DE3">
        <w:t>The primary sector contributes 1.3%, 8.8%</w:t>
      </w:r>
      <w:r w:rsidR="00F26100">
        <w:t>,</w:t>
      </w:r>
      <w:r w:rsidR="002A3E4C" w:rsidRPr="00CC5DE3">
        <w:t xml:space="preserve"> and 25% to the </w:t>
      </w:r>
      <w:r w:rsidR="009B70F0" w:rsidRPr="00CC5DE3">
        <w:t>global gross domestic produc</w:t>
      </w:r>
      <w:r w:rsidR="00770206" w:rsidRPr="00CC5DE3">
        <w:t>tion (GDP)</w:t>
      </w:r>
      <w:r w:rsidR="002A3E4C" w:rsidRPr="00CC5DE3">
        <w:t xml:space="preserve"> of high-income, middle-income</w:t>
      </w:r>
      <w:r w:rsidR="00F941E7">
        <w:t>,</w:t>
      </w:r>
      <w:r w:rsidR="002A3E4C" w:rsidRPr="00CC5DE3">
        <w:t xml:space="preserve"> and low-income countries respectively (World Bank, 2023). Sustainable and reliable agriculture is Goal 2 </w:t>
      </w:r>
      <w:r w:rsidR="0006351D" w:rsidRPr="00CC5DE3">
        <w:t>"</w:t>
      </w:r>
      <w:r w:rsidR="002A3E4C" w:rsidRPr="00CC5DE3">
        <w:t>Zero hunger</w:t>
      </w:r>
      <w:r w:rsidR="0006351D" w:rsidRPr="00CC5DE3">
        <w:t>"</w:t>
      </w:r>
      <w:r w:rsidR="002A3E4C" w:rsidRPr="00CC5DE3">
        <w:t xml:space="preserve">, among the 17 project aims of the Sustainable Development Goals promoted by </w:t>
      </w:r>
      <w:r w:rsidR="00F941E7">
        <w:t xml:space="preserve">the </w:t>
      </w:r>
      <w:r w:rsidR="002A3E4C" w:rsidRPr="00CC5DE3">
        <w:t xml:space="preserve">United Nations (United Nations, </w:t>
      </w:r>
      <w:r w:rsidR="00552433" w:rsidRPr="00CC5DE3">
        <w:t>2018</w:t>
      </w:r>
      <w:r w:rsidR="002A3E4C" w:rsidRPr="00CC5DE3">
        <w:t>).</w:t>
      </w:r>
    </w:p>
    <w:p w14:paraId="40093495" w14:textId="6306F542" w:rsidR="00D07C35" w:rsidRPr="00CC5DE3" w:rsidRDefault="001540B2" w:rsidP="00134453">
      <w:pPr>
        <w:pStyle w:val="CETBodytext"/>
      </w:pPr>
      <w:r w:rsidRPr="00CC5DE3">
        <w:t xml:space="preserve">The Green Revolution, which occurred from the 1930s to the 1960s, led to a significant increase in global crop production. According to a study by Gollin et al. (2021), crop production increased by 44% from 1965 to 2010. This was made possible by intensive genetic improvements in the most cultivated crops, as well as the widespread construction of irrigation systems. Additionally, the availability of synthetic fertilizers, pesticides, herbicides, and fungicides also contributed to this increase in crop production. </w:t>
      </w:r>
      <w:r w:rsidR="00875AB4" w:rsidRPr="00CC5DE3">
        <w:t xml:space="preserve">However current farming practices, excessive water use, and fossil fuels have made agriculture unsustainable. </w:t>
      </w:r>
      <w:r w:rsidR="00A16D6A" w:rsidRPr="00A16D6A">
        <w:t>Indeed, agriculture and associated land use contribute to approximately 20% of global greenhouse gas emissions (FAO, 2021). However, this sector faces the critical challenge of meeting the food demands of an ever-expanding global population, projected to reach around 9.6 billion by 2050.</w:t>
      </w:r>
      <w:r w:rsidR="00021B6B" w:rsidRPr="00CC5DE3">
        <w:t xml:space="preserve"> (OECD/FAO. 2020).</w:t>
      </w:r>
      <w:r w:rsidR="004125F9" w:rsidRPr="00CC5DE3">
        <w:t xml:space="preserve"> </w:t>
      </w:r>
      <w:r w:rsidR="002A3E4C" w:rsidRPr="00CC5DE3">
        <w:t>This analysis highlights the urgent need for scientific and policy interventions to address the global issue of food security (Behl et al., 2022).</w:t>
      </w:r>
      <w:r w:rsidR="004125F9" w:rsidRPr="00CC5DE3">
        <w:t xml:space="preserve"> </w:t>
      </w:r>
      <w:r w:rsidR="00D06FB4" w:rsidRPr="00CC5DE3">
        <w:t>Sustainable feeding of the global population requires transformative changes in the food system. Technological innovations are a key driver of this change.</w:t>
      </w:r>
    </w:p>
    <w:p w14:paraId="3520D5B8" w14:textId="229EF769" w:rsidR="00532B24" w:rsidRPr="00CC5DE3" w:rsidRDefault="00096CEA" w:rsidP="003B6967">
      <w:pPr>
        <w:pStyle w:val="CETBodytext"/>
      </w:pPr>
      <w:r w:rsidRPr="00CC5DE3">
        <w:t>In the context of field crop management, Nutrient Use Efficiency (NUE) measures how well plants can utilize the available mineral nutrients. While this can be calculated by simply looking at the crop yield per unit input of fertilizers, it is a result of two things: (</w:t>
      </w:r>
      <w:proofErr w:type="spellStart"/>
      <w:r w:rsidRPr="00CC5DE3">
        <w:t>i</w:t>
      </w:r>
      <w:proofErr w:type="spellEnd"/>
      <w:r w:rsidRPr="00CC5DE3">
        <w:t xml:space="preserve">) the plant's ability to obtain nutrients from the soil, and (ii) their transport and allocation in different parts of the plants. </w:t>
      </w:r>
      <w:r w:rsidR="00532B24" w:rsidRPr="00CC5DE3">
        <w:t>(</w:t>
      </w:r>
      <w:proofErr w:type="spellStart"/>
      <w:r w:rsidR="00532B24" w:rsidRPr="00CC5DE3">
        <w:t>Hawkesford</w:t>
      </w:r>
      <w:proofErr w:type="spellEnd"/>
      <w:r w:rsidR="00532B24" w:rsidRPr="00CC5DE3">
        <w:t xml:space="preserve"> et al., </w:t>
      </w:r>
      <w:r w:rsidR="00A62E4B" w:rsidRPr="00CC5DE3">
        <w:t>2014</w:t>
      </w:r>
      <w:r w:rsidR="00532B24" w:rsidRPr="00CC5DE3">
        <w:t xml:space="preserve">).  </w:t>
      </w:r>
    </w:p>
    <w:p w14:paraId="76AE1D11" w14:textId="100E6ADE" w:rsidR="007E5CA2" w:rsidRPr="00CC5DE3" w:rsidRDefault="004317C9" w:rsidP="00134453">
      <w:pPr>
        <w:pStyle w:val="CETBodytext"/>
      </w:pPr>
      <w:r w:rsidRPr="00CC5DE3">
        <w:lastRenderedPageBreak/>
        <w:t xml:space="preserve">The </w:t>
      </w:r>
      <w:r w:rsidR="004125F9" w:rsidRPr="00CC5DE3">
        <w:t xml:space="preserve">current </w:t>
      </w:r>
      <w:r w:rsidR="00134453" w:rsidRPr="00CC5DE3">
        <w:t xml:space="preserve">fertilization practices </w:t>
      </w:r>
      <w:r w:rsidRPr="00CC5DE3">
        <w:t xml:space="preserve">are </w:t>
      </w:r>
      <w:r w:rsidR="00134453" w:rsidRPr="00CC5DE3">
        <w:t xml:space="preserve">poorly efficient. </w:t>
      </w:r>
      <w:r w:rsidRPr="00CC5DE3">
        <w:t>Considering the most important plant</w:t>
      </w:r>
      <w:r w:rsidR="004C6A9B">
        <w:t>s’</w:t>
      </w:r>
      <w:r w:rsidRPr="00CC5DE3">
        <w:t xml:space="preserve"> nutrients, nitrogen (N) and phosphorus (P), </w:t>
      </w:r>
      <w:r w:rsidR="00134453" w:rsidRPr="00CC5DE3">
        <w:t>the</w:t>
      </w:r>
      <w:r w:rsidRPr="00CC5DE3">
        <w:t xml:space="preserve"> </w:t>
      </w:r>
      <w:r w:rsidR="00134453" w:rsidRPr="00CC5DE3">
        <w:t xml:space="preserve">NUE of </w:t>
      </w:r>
      <w:r w:rsidRPr="00CC5DE3">
        <w:t xml:space="preserve">the most important N- and </w:t>
      </w:r>
      <w:r w:rsidR="00134453" w:rsidRPr="00CC5DE3">
        <w:t>P-fertilizers is 30-55% and 18-20%, respectively</w:t>
      </w:r>
      <w:r w:rsidRPr="00CC5DE3">
        <w:t>.</w:t>
      </w:r>
    </w:p>
    <w:p w14:paraId="0B72052C" w14:textId="5F6E3FAD" w:rsidR="00134453" w:rsidRPr="00CC5DE3" w:rsidRDefault="00424A8C" w:rsidP="00134453">
      <w:pPr>
        <w:pStyle w:val="CETBodytext"/>
      </w:pPr>
      <w:r w:rsidRPr="00CC5DE3">
        <w:t xml:space="preserve">And if we consider the efficiency for the entire life of fertilizers, from industrial synthesis to their allocation, for example, within corn grains, the conversion efficiencies for N and P contained in urea and mono ammonium phosphate may not exceed 10% (Urso and Gilbertson, 2018). </w:t>
      </w:r>
      <w:r w:rsidR="004317C9" w:rsidRPr="00CC5DE3">
        <w:t>In other words</w:t>
      </w:r>
      <w:r w:rsidR="00134453" w:rsidRPr="00CC5DE3">
        <w:t xml:space="preserve">, only a tiny fraction of </w:t>
      </w:r>
      <w:r w:rsidR="004317C9" w:rsidRPr="00CC5DE3">
        <w:t xml:space="preserve">such elements </w:t>
      </w:r>
      <w:r w:rsidR="00134453" w:rsidRPr="00CC5DE3">
        <w:t xml:space="preserve">enters plants </w:t>
      </w:r>
      <w:r w:rsidR="004125F9" w:rsidRPr="00CC5DE3">
        <w:t>(Smith et al., 2018)</w:t>
      </w:r>
      <w:r w:rsidR="00134453" w:rsidRPr="00CC5DE3">
        <w:t>. The rest of N is lost, causing negative impacts on freshwater and groundwater quality, human health risks, and climate change [</w:t>
      </w:r>
      <w:r w:rsidR="00D43287" w:rsidRPr="00CC5DE3">
        <w:t>Kanter et al., 2018</w:t>
      </w:r>
      <w:r w:rsidR="00134453" w:rsidRPr="00CC5DE3">
        <w:t>]. That also occurs in the case of P but with different global implications. While the Haber-Bosch process ensures the N supply to the fertilizer industry, P fertilizer production depends on the availability of phosphate rocks extracted from non-renewable geological P deposits, an increasingly limited resource [</w:t>
      </w:r>
      <w:proofErr w:type="spellStart"/>
      <w:r w:rsidR="00D43287" w:rsidRPr="00CC5DE3">
        <w:t>Alewell</w:t>
      </w:r>
      <w:proofErr w:type="spellEnd"/>
      <w:r w:rsidR="00D43287" w:rsidRPr="00CC5DE3">
        <w:t xml:space="preserve"> et al., 2020</w:t>
      </w:r>
      <w:r w:rsidR="00134453" w:rsidRPr="00CC5DE3">
        <w:t>]. The recovery of P from thermally treated animal bones has been suggested recently as one of the economically viable and sustainable solutions to overcome the P-crisis [</w:t>
      </w:r>
      <w:r w:rsidR="00612AB4" w:rsidRPr="00CC5DE3">
        <w:t>Ahmed et al., 2021</w:t>
      </w:r>
      <w:r w:rsidR="00134453" w:rsidRPr="00CC5DE3">
        <w:t>].</w:t>
      </w:r>
    </w:p>
    <w:p w14:paraId="04D7C803" w14:textId="77777777" w:rsidR="00CA0062" w:rsidRPr="00CC5DE3" w:rsidRDefault="00CA0062" w:rsidP="00CA0062">
      <w:pPr>
        <w:pStyle w:val="CETHeading1"/>
      </w:pPr>
      <w:r w:rsidRPr="00CC5DE3">
        <w:t>Nano-Enabled Agriculture</w:t>
      </w:r>
    </w:p>
    <w:p w14:paraId="402F80B5" w14:textId="41D32423" w:rsidR="007B43AC" w:rsidRPr="00CC5DE3" w:rsidRDefault="00722D4F" w:rsidP="007B43AC">
      <w:pPr>
        <w:pStyle w:val="CETBodytext"/>
      </w:pPr>
      <w:r w:rsidRPr="00CC5DE3">
        <w:t>Returning to the expected innovations, entering nanotechnologies into the primary sector could be a turning point and help overcome critical agricultural issues.</w:t>
      </w:r>
      <w:r w:rsidR="00024F0A" w:rsidRPr="00CC5DE3">
        <w:t xml:space="preserve"> </w:t>
      </w:r>
      <w:r w:rsidR="007B43AC" w:rsidRPr="00CC5DE3">
        <w:t>It is believed that nanomaterials could play an essential role in the future of agriculture. Properly designed nanomaterials could enhance plant tolerance to environmental stresses, improve crop yield</w:t>
      </w:r>
      <w:r w:rsidR="00063941">
        <w:t>,</w:t>
      </w:r>
      <w:r w:rsidR="007B43AC" w:rsidRPr="00CC5DE3">
        <w:t xml:space="preserve"> and deliver more efficient plant protection products. In addition to ensuring adequate production levels, it is expected to reduce the environmental pressure of food production and improve agriculture resilience.</w:t>
      </w:r>
      <w:r w:rsidR="00ED3837" w:rsidRPr="00CC5DE3">
        <w:t xml:space="preserve"> While research explores new materials and operating strategies, the term "Nano-Enabled Agriculture" has been coined (Kah et al., 2019).</w:t>
      </w:r>
    </w:p>
    <w:p w14:paraId="6BE194E7" w14:textId="0DCB837B" w:rsidR="00ED3837" w:rsidRPr="00CC5DE3" w:rsidRDefault="00ED3837" w:rsidP="00FF53E4">
      <w:pPr>
        <w:pStyle w:val="CETBodytext"/>
      </w:pPr>
      <w:r w:rsidRPr="00CC5DE3">
        <w:t xml:space="preserve">Nanotechnology has significantly contributed to various productive sectors such as electronics, information technology, medical and healthcare, energy, mobility, environmental remediation, and everyday commercial products. However, this has not been the case in agriculture, where research on this subject is relatively recent. </w:t>
      </w:r>
      <w:r w:rsidR="0062440F">
        <w:t>Figure</w:t>
      </w:r>
      <w:r w:rsidRPr="00CC5DE3">
        <w:t xml:space="preserve"> 1 </w:t>
      </w:r>
      <w:r w:rsidR="0062440F">
        <w:t>shows</w:t>
      </w:r>
      <w:r w:rsidRPr="00CC5DE3">
        <w:t xml:space="preserve"> </w:t>
      </w:r>
      <w:r w:rsidR="00E83819" w:rsidRPr="00E83819">
        <w:t>the outcomes of a recent literature survey conducted on Scopus (as of April 22, 2023), illustrating the rapid quantitative and temporal expansion of scientific research concerning "Nanotechnologies." This growth trend notably accelerated during the late 1990s</w:t>
      </w:r>
      <w:r w:rsidRPr="00CC5DE3">
        <w:t xml:space="preserve">. </w:t>
      </w:r>
    </w:p>
    <w:p w14:paraId="481A5263" w14:textId="7397317E" w:rsidR="00ED3837" w:rsidRPr="00CC5DE3" w:rsidRDefault="00ED3837" w:rsidP="00FF53E4">
      <w:pPr>
        <w:pStyle w:val="CETBodytext"/>
      </w:pPr>
      <w:r w:rsidRPr="00CC5DE3">
        <w:t xml:space="preserve">Additionally, the graph includes information on the query "Nanotechnology in Agriculture" </w:t>
      </w:r>
      <w:r w:rsidR="00801369" w:rsidRPr="00CC5DE3">
        <w:t>and “Nano-Enabled Agriculture</w:t>
      </w:r>
      <w:r w:rsidRPr="00CC5DE3">
        <w:t>.</w:t>
      </w:r>
    </w:p>
    <w:p w14:paraId="34D76C2B" w14:textId="3418FD7F" w:rsidR="00ED3837" w:rsidRPr="00CC5DE3" w:rsidRDefault="00ED3837" w:rsidP="00FF53E4">
      <w:pPr>
        <w:pStyle w:val="CETBodytext"/>
      </w:pPr>
    </w:p>
    <w:p w14:paraId="34A770DB" w14:textId="2F7AA7A7" w:rsidR="00C737D1" w:rsidRPr="00CC5DE3" w:rsidRDefault="00801369" w:rsidP="00C737D1">
      <w:pPr>
        <w:pStyle w:val="CETBodytext"/>
      </w:pPr>
      <w:r w:rsidRPr="00CC5DE3">
        <w:rPr>
          <w:noProof/>
        </w:rPr>
        <w:drawing>
          <wp:inline distT="0" distB="0" distL="0" distR="0" wp14:anchorId="0F7E84C4" wp14:editId="6BE62A41">
            <wp:extent cx="4320000" cy="2762493"/>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1"/>
                    <a:stretch>
                      <a:fillRect/>
                    </a:stretch>
                  </pic:blipFill>
                  <pic:spPr>
                    <a:xfrm>
                      <a:off x="0" y="0"/>
                      <a:ext cx="4320000" cy="2762493"/>
                    </a:xfrm>
                    <a:prstGeom prst="rect">
                      <a:avLst/>
                    </a:prstGeom>
                  </pic:spPr>
                </pic:pic>
              </a:graphicData>
            </a:graphic>
          </wp:inline>
        </w:drawing>
      </w:r>
    </w:p>
    <w:p w14:paraId="16A154CF" w14:textId="77777777" w:rsidR="00C737D1" w:rsidRPr="00CC5DE3" w:rsidRDefault="00C737D1" w:rsidP="00C737D1">
      <w:pPr>
        <w:pStyle w:val="CETBodytext"/>
      </w:pPr>
    </w:p>
    <w:p w14:paraId="463F351B" w14:textId="415379EC" w:rsidR="00C737D1" w:rsidRPr="00CC5DE3" w:rsidRDefault="00C737D1" w:rsidP="00C737D1">
      <w:r w:rsidRPr="00CC5DE3">
        <w:rPr>
          <w:rStyle w:val="CETCaptionCarattere"/>
          <w:lang w:val="en-US"/>
        </w:rPr>
        <w:t xml:space="preserve">Figure 1: </w:t>
      </w:r>
      <w:r w:rsidR="003479E4" w:rsidRPr="00CC5DE3">
        <w:rPr>
          <w:rStyle w:val="CETCaptionCarattere"/>
          <w:lang w:val="en-US"/>
        </w:rPr>
        <w:t>Number of published papers on Nanotechnology</w:t>
      </w:r>
      <w:r w:rsidR="00307CDD">
        <w:rPr>
          <w:rStyle w:val="CETCaptionCarattere"/>
          <w:lang w:val="en-US"/>
        </w:rPr>
        <w:t xml:space="preserve"> </w:t>
      </w:r>
      <w:r w:rsidR="0028292E">
        <w:rPr>
          <w:rStyle w:val="CETCaptionCarattere"/>
          <w:lang w:val="en-US"/>
        </w:rPr>
        <w:t>(blue triangles)</w:t>
      </w:r>
      <w:r w:rsidR="00AA070B">
        <w:rPr>
          <w:rStyle w:val="CETCaptionCarattere"/>
          <w:lang w:val="en-US"/>
        </w:rPr>
        <w:t>, number of</w:t>
      </w:r>
      <w:r w:rsidR="00801369" w:rsidRPr="00CC5DE3">
        <w:rPr>
          <w:rStyle w:val="CETCaptionCarattere"/>
          <w:lang w:val="en-US"/>
        </w:rPr>
        <w:t xml:space="preserve"> </w:t>
      </w:r>
      <w:r w:rsidR="0006351D" w:rsidRPr="00CC5DE3">
        <w:rPr>
          <w:rStyle w:val="CETCaptionCarattere"/>
          <w:lang w:val="en-US"/>
        </w:rPr>
        <w:t>documents</w:t>
      </w:r>
      <w:r w:rsidR="003479E4" w:rsidRPr="00CC5DE3">
        <w:rPr>
          <w:rStyle w:val="CETCaptionCarattere"/>
          <w:lang w:val="en-US"/>
        </w:rPr>
        <w:t xml:space="preserve"> focused on Nanotechnology in Agriculture</w:t>
      </w:r>
      <w:r w:rsidR="00801369" w:rsidRPr="00CC5DE3">
        <w:rPr>
          <w:rStyle w:val="CETCaptionCarattere"/>
          <w:lang w:val="en-US"/>
        </w:rPr>
        <w:t xml:space="preserve"> (red circles)</w:t>
      </w:r>
      <w:r w:rsidR="00AA070B">
        <w:rPr>
          <w:rStyle w:val="CETCaptionCarattere"/>
          <w:lang w:val="en-US"/>
        </w:rPr>
        <w:t>,</w:t>
      </w:r>
      <w:r w:rsidR="00801369" w:rsidRPr="00CC5DE3">
        <w:rPr>
          <w:rStyle w:val="CETCaptionCarattere"/>
          <w:lang w:val="en-US"/>
        </w:rPr>
        <w:t xml:space="preserve"> and </w:t>
      </w:r>
      <w:r w:rsidR="00AA070B">
        <w:rPr>
          <w:rStyle w:val="CETCaptionCarattere"/>
          <w:lang w:val="en-US"/>
        </w:rPr>
        <w:t xml:space="preserve">on </w:t>
      </w:r>
      <w:r w:rsidR="00801369" w:rsidRPr="00CC5DE3">
        <w:rPr>
          <w:rStyle w:val="CETCaptionCarattere"/>
          <w:lang w:val="en-US"/>
        </w:rPr>
        <w:t>Nano-Enabled Agriculture (green squares)</w:t>
      </w:r>
      <w:r w:rsidR="003479E4" w:rsidRPr="00CC5DE3">
        <w:rPr>
          <w:rStyle w:val="CETCaptionCarattere"/>
          <w:lang w:val="en-US"/>
        </w:rPr>
        <w:t>.</w:t>
      </w:r>
    </w:p>
    <w:p w14:paraId="116C3377" w14:textId="77777777" w:rsidR="00FF53E4" w:rsidRPr="00CC5DE3" w:rsidRDefault="00FF53E4" w:rsidP="00882CB6">
      <w:pPr>
        <w:pStyle w:val="CETBodytext"/>
      </w:pPr>
    </w:p>
    <w:p w14:paraId="70E6CFC6" w14:textId="5C1E9989" w:rsidR="00ED3837" w:rsidRPr="00CC5DE3" w:rsidRDefault="0006351D" w:rsidP="0006351D">
      <w:pPr>
        <w:pStyle w:val="CETBodytext"/>
      </w:pPr>
      <w:r w:rsidRPr="00CC5DE3">
        <w:t>T</w:t>
      </w:r>
      <w:r w:rsidR="003479E4" w:rsidRPr="00CC5DE3">
        <w:t>h</w:t>
      </w:r>
      <w:r w:rsidRPr="00CC5DE3">
        <w:t xml:space="preserve">e </w:t>
      </w:r>
      <w:r w:rsidR="003479E4" w:rsidRPr="00CC5DE3">
        <w:t xml:space="preserve">research on </w:t>
      </w:r>
      <w:r w:rsidRPr="00CC5DE3">
        <w:t>implementing</w:t>
      </w:r>
      <w:r w:rsidR="003479E4" w:rsidRPr="00CC5DE3">
        <w:t xml:space="preserve"> nanotechnologies in agriculture is dramatically </w:t>
      </w:r>
      <w:r w:rsidR="00AA070B" w:rsidRPr="00CC5DE3">
        <w:t>lagging</w:t>
      </w:r>
      <w:r w:rsidR="003479E4" w:rsidRPr="00CC5DE3">
        <w:t xml:space="preserve"> other sectors</w:t>
      </w:r>
      <w:r w:rsidR="00ED3837" w:rsidRPr="00CC5DE3">
        <w:t>.</w:t>
      </w:r>
      <w:r w:rsidR="003479E4" w:rsidRPr="00CC5DE3">
        <w:t xml:space="preserve"> </w:t>
      </w:r>
      <w:r w:rsidRPr="00CC5DE3">
        <w:t>T</w:t>
      </w:r>
      <w:r w:rsidR="00ED3837" w:rsidRPr="00CC5DE3">
        <w:t>h</w:t>
      </w:r>
      <w:r w:rsidRPr="00CC5DE3">
        <w:t xml:space="preserve">at </w:t>
      </w:r>
      <w:r w:rsidR="00ED3837" w:rsidRPr="00CC5DE3">
        <w:t>is paradoxical</w:t>
      </w:r>
      <w:r w:rsidRPr="00CC5DE3">
        <w:t>,</w:t>
      </w:r>
      <w:r w:rsidR="00ED3837" w:rsidRPr="00CC5DE3">
        <w:t xml:space="preserve"> given that </w:t>
      </w:r>
      <w:r w:rsidRPr="00CC5DE3">
        <w:t>it</w:t>
      </w:r>
      <w:r w:rsidR="00ED3837" w:rsidRPr="00CC5DE3">
        <w:t xml:space="preserve"> </w:t>
      </w:r>
      <w:r w:rsidR="00801369" w:rsidRPr="00CC5DE3">
        <w:t xml:space="preserve">urgently </w:t>
      </w:r>
      <w:r w:rsidR="00ED3837" w:rsidRPr="00CC5DE3">
        <w:t>needs innovations to make production processes efficient and more sustainable.</w:t>
      </w:r>
      <w:r w:rsidR="00FF53E4" w:rsidRPr="00CC5DE3">
        <w:t xml:space="preserve"> However, </w:t>
      </w:r>
      <w:r w:rsidR="00ED3837" w:rsidRPr="00CC5DE3">
        <w:t xml:space="preserve">after isolating the data of "Nanotech in Agriculture" with a more suitable scale, we can observe a significant increase </w:t>
      </w:r>
      <w:r w:rsidRPr="00CC5DE3">
        <w:t>in</w:t>
      </w:r>
      <w:r w:rsidR="00ED3837" w:rsidRPr="00CC5DE3">
        <w:t xml:space="preserve"> papers in this area</w:t>
      </w:r>
      <w:r w:rsidRPr="00CC5DE3">
        <w:t xml:space="preserve"> with a delay of about ten years</w:t>
      </w:r>
      <w:r w:rsidR="00ED3837" w:rsidRPr="00CC5DE3">
        <w:t>.</w:t>
      </w:r>
    </w:p>
    <w:p w14:paraId="28450727" w14:textId="253095BA" w:rsidR="00994FF8" w:rsidRPr="00CC5DE3" w:rsidRDefault="0006351D" w:rsidP="002269E9">
      <w:pPr>
        <w:pStyle w:val="CETBodytext"/>
      </w:pPr>
      <w:r w:rsidRPr="00CC5DE3">
        <w:lastRenderedPageBreak/>
        <w:t xml:space="preserve">The primary sector has distinct characteristics that set it apart from other productive sectors. </w:t>
      </w:r>
      <w:r w:rsidR="0004140D" w:rsidRPr="0004140D">
        <w:t>Consider, for example, the progression of research aimed at integrating nanotechnologies into the fields of medicine and agricultur</w:t>
      </w:r>
      <w:r w:rsidR="0057239A">
        <w:t>e: i</w:t>
      </w:r>
      <w:r w:rsidRPr="00CC5DE3">
        <w:t xml:space="preserve">n the medical field, research has mainly focused on humans, while in agriculture, there are approximately 7,000 species of edible plants, with about 25-30 crop species being the most cultivated. Moreover, the interaction between nanomaterials and plant morphology and physiology varies among plant species; hence, the results observed in one crop species may not apply to another </w:t>
      </w:r>
      <w:r w:rsidR="001B6AF9" w:rsidRPr="00CC5DE3">
        <w:t>(</w:t>
      </w:r>
      <w:r w:rsidRPr="00CC5DE3">
        <w:t>Mullen</w:t>
      </w:r>
      <w:r w:rsidR="001B6AF9" w:rsidRPr="00CC5DE3">
        <w:t xml:space="preserve">, </w:t>
      </w:r>
      <w:r w:rsidRPr="00CC5DE3">
        <w:t>2019).</w:t>
      </w:r>
      <w:r w:rsidR="002269E9" w:rsidRPr="00CC5DE3">
        <w:t xml:space="preserve"> A second point concerns the production scalability and costs </w:t>
      </w:r>
      <w:r w:rsidR="00994FF8" w:rsidRPr="00CC5DE3">
        <w:t xml:space="preserve">of </w:t>
      </w:r>
      <w:r w:rsidR="002269E9" w:rsidRPr="00CC5DE3">
        <w:t>nano</w:t>
      </w:r>
      <w:r w:rsidR="00994FF8" w:rsidRPr="00CC5DE3">
        <w:t>materials for agriculture</w:t>
      </w:r>
      <w:r w:rsidR="002269E9" w:rsidRPr="00CC5DE3">
        <w:t>. I</w:t>
      </w:r>
      <w:r w:rsidR="00994FF8" w:rsidRPr="00CC5DE3">
        <w:t>nnovations often start with the most expensive products with limited usefulness</w:t>
      </w:r>
      <w:r w:rsidR="002269E9" w:rsidRPr="00CC5DE3">
        <w:t xml:space="preserve">. </w:t>
      </w:r>
      <w:r w:rsidR="00994FF8" w:rsidRPr="00CC5DE3">
        <w:t xml:space="preserve">In medical applications, a higher production cost may be acceptable, but in agriculture, </w:t>
      </w:r>
      <w:r w:rsidR="002269E9" w:rsidRPr="00CC5DE3">
        <w:t xml:space="preserve">agrochemicals </w:t>
      </w:r>
      <w:r w:rsidR="00994FF8" w:rsidRPr="00CC5DE3">
        <w:t>need to be sold at lower prices</w:t>
      </w:r>
      <w:r w:rsidR="002269E9" w:rsidRPr="00CC5DE3">
        <w:t xml:space="preserve"> (Mullen, 2019)</w:t>
      </w:r>
      <w:r w:rsidR="00994FF8" w:rsidRPr="00CC5DE3">
        <w:t>.</w:t>
      </w:r>
    </w:p>
    <w:p w14:paraId="228628A2" w14:textId="1412E75A" w:rsidR="00294E40" w:rsidRPr="00CC5DE3" w:rsidRDefault="00294E40" w:rsidP="00024F0A">
      <w:pPr>
        <w:pStyle w:val="CETBodytext"/>
      </w:pPr>
      <w:r w:rsidRPr="00CC5DE3">
        <w:t>Since research and testing have only recently begun, more time is needed to develop sufficient knowledge to determine safety and precautionary margins.</w:t>
      </w:r>
    </w:p>
    <w:p w14:paraId="7911A1C2" w14:textId="7F45F42A" w:rsidR="00D06FB4" w:rsidRPr="00CC5DE3" w:rsidRDefault="00D06FB4" w:rsidP="00D06FB4">
      <w:pPr>
        <w:pStyle w:val="CETHeading1"/>
        <w:rPr>
          <w:shd w:val="clear" w:color="auto" w:fill="FFFFFF"/>
        </w:rPr>
      </w:pPr>
      <w:r w:rsidRPr="00CC5DE3">
        <w:rPr>
          <w:shd w:val="clear" w:color="auto" w:fill="FFFFFF"/>
        </w:rPr>
        <w:t>Nano</w:t>
      </w:r>
      <w:r w:rsidR="004012D1" w:rsidRPr="00CC5DE3">
        <w:rPr>
          <w:shd w:val="clear" w:color="auto" w:fill="FFFFFF"/>
        </w:rPr>
        <w:t>-</w:t>
      </w:r>
      <w:r w:rsidRPr="00CC5DE3">
        <w:rPr>
          <w:shd w:val="clear" w:color="auto" w:fill="FFFFFF"/>
        </w:rPr>
        <w:t>hydroxyapatite. Sources and potential applications in agriculture.</w:t>
      </w:r>
    </w:p>
    <w:p w14:paraId="137E77CF" w14:textId="77777777" w:rsidR="00F2023C" w:rsidRPr="00CC5DE3" w:rsidRDefault="004643DC" w:rsidP="004643DC">
      <w:pPr>
        <w:pStyle w:val="CETBodytext"/>
      </w:pPr>
      <w:r w:rsidRPr="00CC5DE3">
        <w:t xml:space="preserve">Current research is exploring the potential of intelligent nanostructures to accurately release and distribute nutrients, agrochemicals, and biomolecules. These nanomaterials can intelligently regulate the duration of nutrient release based on the plant's developmental stages, reducing any negative environmental impacts (Usman et al., 2020). </w:t>
      </w:r>
    </w:p>
    <w:p w14:paraId="78C015A9" w14:textId="0B306DB1" w:rsidR="006D0479" w:rsidRPr="00CC5DE3" w:rsidRDefault="003D01FB" w:rsidP="003D01FB">
      <w:pPr>
        <w:pStyle w:val="CETBodytext"/>
      </w:pPr>
      <w:r w:rsidRPr="00CC5DE3">
        <w:t>The soil on Earth usually contains 0.10% of P and 3.4% of Ca. When the oxides of these elements combine, they form ortho- (PO</w:t>
      </w:r>
      <w:r w:rsidRPr="00CC5DE3">
        <w:rPr>
          <w:vertAlign w:val="subscript"/>
        </w:rPr>
        <w:t>4</w:t>
      </w:r>
      <w:r w:rsidRPr="00CC5DE3">
        <w:t>)</w:t>
      </w:r>
      <w:r w:rsidR="00D80DC6" w:rsidRPr="00CC5DE3">
        <w:rPr>
          <w:vertAlign w:val="subscript"/>
        </w:rPr>
        <w:t>3</w:t>
      </w:r>
      <w:r w:rsidRPr="00CC5DE3">
        <w:t>, pyro- (P</w:t>
      </w:r>
      <w:r w:rsidRPr="00CC5DE3">
        <w:rPr>
          <w:vertAlign w:val="subscript"/>
        </w:rPr>
        <w:t>2</w:t>
      </w:r>
      <w:r w:rsidRPr="00CC5DE3">
        <w:t>O</w:t>
      </w:r>
      <w:r w:rsidRPr="00CC5DE3">
        <w:rPr>
          <w:vertAlign w:val="subscript"/>
        </w:rPr>
        <w:t>7</w:t>
      </w:r>
      <w:r w:rsidRPr="00CC5DE3">
        <w:t>)</w:t>
      </w:r>
      <w:r w:rsidR="00D80DC6" w:rsidRPr="00CC5DE3">
        <w:rPr>
          <w:vertAlign w:val="subscript"/>
        </w:rPr>
        <w:t>4</w:t>
      </w:r>
      <w:r w:rsidRPr="00CC5DE3">
        <w:t>, and poly- ((PO</w:t>
      </w:r>
      <w:proofErr w:type="gramStart"/>
      <w:r w:rsidRPr="00CC5DE3">
        <w:rPr>
          <w:vertAlign w:val="subscript"/>
        </w:rPr>
        <w:t>3</w:t>
      </w:r>
      <w:r w:rsidRPr="00CC5DE3">
        <w:t>)</w:t>
      </w:r>
      <w:r w:rsidRPr="00CC5DE3">
        <w:rPr>
          <w:vertAlign w:val="subscript"/>
        </w:rPr>
        <w:t>n</w:t>
      </w:r>
      <w:proofErr w:type="gramEnd"/>
      <w:r w:rsidR="00D80DC6" w:rsidRPr="00CC5DE3">
        <w:t xml:space="preserve"> </w:t>
      </w:r>
      <w:r w:rsidR="00D80DC6" w:rsidRPr="00CC5DE3">
        <w:rPr>
          <w:rFonts w:cs="Arial"/>
        </w:rPr>
        <w:t xml:space="preserve">× </w:t>
      </w:r>
      <w:r w:rsidRPr="00CC5DE3">
        <w:t>n) phosphates, which make up more than 50% of soil P</w:t>
      </w:r>
      <w:r w:rsidR="00077784" w:rsidRPr="00CC5DE3">
        <w:t xml:space="preserve"> (</w:t>
      </w:r>
      <w:proofErr w:type="spellStart"/>
      <w:r w:rsidR="00077784" w:rsidRPr="00CC5DE3">
        <w:t>Dorozhkin</w:t>
      </w:r>
      <w:proofErr w:type="spellEnd"/>
      <w:r w:rsidR="00077784" w:rsidRPr="00CC5DE3">
        <w:t xml:space="preserve"> and Epple, 2002)</w:t>
      </w:r>
      <w:r w:rsidRPr="00CC5DE3">
        <w:t xml:space="preserve">. Natural orthophosphates are identified by deposits of fluorapatite and phosphorites, which have a high concentration of P that makes them economically viable </w:t>
      </w:r>
      <w:proofErr w:type="gramStart"/>
      <w:r w:rsidRPr="00CC5DE3">
        <w:t>for the production of</w:t>
      </w:r>
      <w:proofErr w:type="gramEnd"/>
      <w:r w:rsidRPr="00CC5DE3">
        <w:t xml:space="preserve"> the most used </w:t>
      </w:r>
      <w:r w:rsidR="00205E00" w:rsidRPr="00CC5DE3">
        <w:t xml:space="preserve">P fertilizers </w:t>
      </w:r>
      <w:r w:rsidR="006D0479" w:rsidRPr="00CC5DE3">
        <w:t xml:space="preserve">in agriculture </w:t>
      </w:r>
      <w:r w:rsidRPr="00CC5DE3">
        <w:t xml:space="preserve">such as </w:t>
      </w:r>
      <w:r w:rsidR="00205E00" w:rsidRPr="00CC5DE3">
        <w:t>ammonium monophosphate (</w:t>
      </w:r>
      <w:r w:rsidRPr="00CC5DE3">
        <w:t xml:space="preserve">MAP, </w:t>
      </w:r>
      <w:r w:rsidR="00205E00" w:rsidRPr="00CC5DE3">
        <w:t>NH</w:t>
      </w:r>
      <w:r w:rsidR="00205E00" w:rsidRPr="00CC5DE3">
        <w:rPr>
          <w:vertAlign w:val="subscript"/>
        </w:rPr>
        <w:t>3</w:t>
      </w:r>
      <w:r w:rsidR="00205E00" w:rsidRPr="00CC5DE3">
        <w:t>H</w:t>
      </w:r>
      <w:r w:rsidR="00205E00" w:rsidRPr="00CC5DE3">
        <w:rPr>
          <w:vertAlign w:val="subscript"/>
        </w:rPr>
        <w:t>2</w:t>
      </w:r>
      <w:r w:rsidR="00205E00" w:rsidRPr="00CC5DE3">
        <w:t>PO</w:t>
      </w:r>
      <w:r w:rsidR="00205E00" w:rsidRPr="00CC5DE3">
        <w:rPr>
          <w:vertAlign w:val="subscript"/>
        </w:rPr>
        <w:t>4</w:t>
      </w:r>
      <w:r w:rsidR="00205E00" w:rsidRPr="00CC5DE3">
        <w:t>), diammonium phosphate (</w:t>
      </w:r>
      <w:r w:rsidRPr="00CC5DE3">
        <w:t xml:space="preserve">DAP, </w:t>
      </w:r>
      <w:r w:rsidR="00205E00" w:rsidRPr="00CC5DE3">
        <w:t>(NH</w:t>
      </w:r>
      <w:r w:rsidR="00205E00" w:rsidRPr="00CC5DE3">
        <w:rPr>
          <w:vertAlign w:val="subscript"/>
        </w:rPr>
        <w:t>3</w:t>
      </w:r>
      <w:r w:rsidR="00205E00" w:rsidRPr="00CC5DE3">
        <w:t>)</w:t>
      </w:r>
      <w:r w:rsidR="00205E00" w:rsidRPr="00CC5DE3">
        <w:rPr>
          <w:vertAlign w:val="subscript"/>
        </w:rPr>
        <w:t>2</w:t>
      </w:r>
      <w:r w:rsidR="00205E00" w:rsidRPr="00CC5DE3">
        <w:t>H</w:t>
      </w:r>
      <w:r w:rsidR="00205E00" w:rsidRPr="00CC5DE3">
        <w:rPr>
          <w:vertAlign w:val="subscript"/>
        </w:rPr>
        <w:t>2</w:t>
      </w:r>
      <w:r w:rsidR="00205E00" w:rsidRPr="00CC5DE3">
        <w:t>PO</w:t>
      </w:r>
      <w:r w:rsidR="00205E00" w:rsidRPr="00CC5DE3">
        <w:rPr>
          <w:vertAlign w:val="subscript"/>
        </w:rPr>
        <w:t>4</w:t>
      </w:r>
      <w:r w:rsidR="00205E00" w:rsidRPr="00CC5DE3">
        <w:t>), and triple superphosphate (TSP, Ca(H</w:t>
      </w:r>
      <w:r w:rsidR="00205E00" w:rsidRPr="00CC5DE3">
        <w:rPr>
          <w:vertAlign w:val="subscript"/>
        </w:rPr>
        <w:t>2</w:t>
      </w:r>
      <w:r w:rsidR="00205E00" w:rsidRPr="00CC5DE3">
        <w:t>PO</w:t>
      </w:r>
      <w:r w:rsidR="00205E00" w:rsidRPr="00CC5DE3">
        <w:rPr>
          <w:vertAlign w:val="subscript"/>
        </w:rPr>
        <w:t>4</w:t>
      </w:r>
      <w:r w:rsidR="00205E00" w:rsidRPr="00CC5DE3">
        <w:t>)).</w:t>
      </w:r>
    </w:p>
    <w:p w14:paraId="70305DDA" w14:textId="77777777" w:rsidR="00190B85" w:rsidRPr="00CC5DE3" w:rsidRDefault="00747EED" w:rsidP="008B6C9F">
      <w:pPr>
        <w:pStyle w:val="CETBodytext"/>
      </w:pPr>
      <w:r w:rsidRPr="00CC5DE3">
        <w:t>It is important to note that global agricultural production relies heavily on non-renewable resources, which poses a significant threat to food security. Although current estimates suggest that we have 50-100 years before phosphate rock reserves known today are exhausted, the possibility of scarcity creates market tensions that could lead to political and economic instability worldwide (Martinon, 2023).</w:t>
      </w:r>
    </w:p>
    <w:p w14:paraId="758D99B4" w14:textId="282E84BC" w:rsidR="00982EAE" w:rsidRPr="00CC5DE3" w:rsidRDefault="00190B85" w:rsidP="008B6C9F">
      <w:pPr>
        <w:pStyle w:val="CETBodytext"/>
      </w:pPr>
      <w:r w:rsidRPr="00CC5DE3">
        <w:t>In agriculture, there are two strategies to address the issue of phosphorus scarcity. The first is to identify alternative P sources, while the second is to improve its use efficiency which currently is only around 20%.</w:t>
      </w:r>
    </w:p>
    <w:p w14:paraId="6D03A657" w14:textId="0F8240D2" w:rsidR="00982EAE" w:rsidRPr="00CC5DE3" w:rsidRDefault="00982EAE" w:rsidP="00982EAE">
      <w:r w:rsidRPr="00CC5DE3">
        <w:t>Synthetic amorphous calcium phosphate (ACP) is the first result of precipitation from a supersaturated solution containing calcium cations and phosphate anions. Since the very small crystal size</w:t>
      </w:r>
      <w:r w:rsidR="006311F3">
        <w:t>,</w:t>
      </w:r>
      <w:r w:rsidRPr="00CC5DE3">
        <w:t xml:space="preserve"> ACP appears amorphous in X-ray diffraction experiments (</w:t>
      </w:r>
      <w:proofErr w:type="spellStart"/>
      <w:r w:rsidRPr="00CC5DE3">
        <w:t>Dorozhkin</w:t>
      </w:r>
      <w:proofErr w:type="spellEnd"/>
      <w:r w:rsidRPr="00CC5DE3">
        <w:t xml:space="preserve"> and Epple, 2002). Early studies have shown that ACP nanoparticles (</w:t>
      </w:r>
      <w:proofErr w:type="spellStart"/>
      <w:r w:rsidRPr="00CC5DE3">
        <w:t>nACP</w:t>
      </w:r>
      <w:proofErr w:type="spellEnd"/>
      <w:r w:rsidRPr="00CC5DE3">
        <w:t xml:space="preserve">) have great potential as a fertilizer, with promising results. ACP can adsorb small molecules such as urea on their surface, which allows for higher payloads of macronutrients. Although there is no definitive confirmation of these capabilities in the literature, there are reasonable expectations that the use of </w:t>
      </w:r>
      <w:proofErr w:type="spellStart"/>
      <w:r w:rsidRPr="00CC5DE3">
        <w:t>nACP</w:t>
      </w:r>
      <w:proofErr w:type="spellEnd"/>
      <w:r w:rsidRPr="00CC5DE3">
        <w:t xml:space="preserve"> can improve nitrogen use efficiency in field crop management (Carmona et al., 2021).</w:t>
      </w:r>
    </w:p>
    <w:p w14:paraId="38966E0D" w14:textId="53339713" w:rsidR="00F05D60" w:rsidRPr="00CC5DE3" w:rsidRDefault="00982EAE" w:rsidP="00982EAE">
      <w:pPr>
        <w:pStyle w:val="CETBodytext"/>
      </w:pPr>
      <w:r w:rsidRPr="00CC5DE3">
        <w:t>Hydroxyapatite (HAP, Ca</w:t>
      </w:r>
      <w:r w:rsidRPr="00CC5DE3">
        <w:rPr>
          <w:vertAlign w:val="subscript"/>
        </w:rPr>
        <w:t>10</w:t>
      </w:r>
      <w:r w:rsidRPr="00CC5DE3">
        <w:t>(PO</w:t>
      </w:r>
      <w:r w:rsidRPr="00CC5DE3">
        <w:rPr>
          <w:vertAlign w:val="subscript"/>
        </w:rPr>
        <w:t>4</w:t>
      </w:r>
      <w:r w:rsidRPr="00CC5DE3">
        <w:t>)</w:t>
      </w:r>
      <w:r w:rsidRPr="00CC5DE3">
        <w:rPr>
          <w:vertAlign w:val="subscript"/>
        </w:rPr>
        <w:t>6</w:t>
      </w:r>
      <w:r w:rsidRPr="00CC5DE3">
        <w:t>(OH</w:t>
      </w:r>
      <w:r w:rsidRPr="00CC5DE3">
        <w:rPr>
          <w:vertAlign w:val="subscript"/>
        </w:rPr>
        <w:t>2</w:t>
      </w:r>
      <w:r w:rsidRPr="00CC5DE3">
        <w:t>)), the most stable of all calcium orthophosphates, has a Ca/P molar ratio =1.67, can be extracted from biological sources and wastes, such as bovine and horse bones, fish bones, and scales (Maschmeyer et al., 2020). Compared to stoichiometric synthetic HAP, biological HAP contains other ions such as Na</w:t>
      </w:r>
      <w:r w:rsidRPr="00CC5DE3">
        <w:rPr>
          <w:vertAlign w:val="superscript"/>
        </w:rPr>
        <w:t>+</w:t>
      </w:r>
      <w:r w:rsidRPr="00CC5DE3">
        <w:t>, Zn</w:t>
      </w:r>
      <w:r w:rsidRPr="00CC5DE3">
        <w:rPr>
          <w:vertAlign w:val="superscript"/>
        </w:rPr>
        <w:t>2+</w:t>
      </w:r>
      <w:r w:rsidRPr="00CC5DE3">
        <w:t>, Mg</w:t>
      </w:r>
      <w:r w:rsidRPr="00CC5DE3">
        <w:rPr>
          <w:vertAlign w:val="superscript"/>
        </w:rPr>
        <w:t>2+</w:t>
      </w:r>
      <w:r w:rsidRPr="00CC5DE3">
        <w:t>, K</w:t>
      </w:r>
      <w:r w:rsidRPr="00CC5DE3">
        <w:rPr>
          <w:vertAlign w:val="superscript"/>
        </w:rPr>
        <w:t>+</w:t>
      </w:r>
      <w:r w:rsidRPr="00CC5DE3">
        <w:t>, Si</w:t>
      </w:r>
      <w:r w:rsidRPr="00CC5DE3">
        <w:rPr>
          <w:vertAlign w:val="superscript"/>
        </w:rPr>
        <w:t>2+</w:t>
      </w:r>
      <w:r w:rsidRPr="00CC5DE3">
        <w:t>, and CO</w:t>
      </w:r>
      <w:r w:rsidRPr="00CC5DE3">
        <w:rPr>
          <w:vertAlign w:val="subscript"/>
        </w:rPr>
        <w:t>3</w:t>
      </w:r>
      <w:r w:rsidRPr="00CC5DE3">
        <w:rPr>
          <w:vertAlign w:val="superscript"/>
        </w:rPr>
        <w:t>2-</w:t>
      </w:r>
      <w:r w:rsidRPr="00CC5DE3">
        <w:t xml:space="preserve"> (Mohd </w:t>
      </w:r>
      <w:proofErr w:type="spellStart"/>
      <w:r w:rsidRPr="00CC5DE3">
        <w:t>Pu'ad</w:t>
      </w:r>
      <w:proofErr w:type="spellEnd"/>
      <w:r w:rsidRPr="00CC5DE3">
        <w:t xml:space="preserve"> et al., 2019) for that reason </w:t>
      </w:r>
      <w:r w:rsidR="00190B85" w:rsidRPr="00CC5DE3">
        <w:t xml:space="preserve">innovative fertilizers based </w:t>
      </w:r>
      <w:r w:rsidR="00E16E44" w:rsidRPr="00CC5DE3">
        <w:t>crystalline nanoscale hydroxyapatite (</w:t>
      </w:r>
      <w:proofErr w:type="spellStart"/>
      <w:r w:rsidR="00E16E44" w:rsidRPr="00CC5DE3">
        <w:t>nHAP</w:t>
      </w:r>
      <w:proofErr w:type="spellEnd"/>
      <w:r w:rsidR="00E16E44" w:rsidRPr="00CC5DE3">
        <w:t>) shows great promise for use in agriculture (Ramírez-Rodríguez et al., 2020).</w:t>
      </w:r>
      <w:r w:rsidR="00374D37" w:rsidRPr="00CC5DE3">
        <w:t xml:space="preserve"> </w:t>
      </w:r>
      <w:r w:rsidRPr="00CC5DE3">
        <w:t xml:space="preserve">Research is currently exploring the </w:t>
      </w:r>
      <w:r w:rsidR="004012D1" w:rsidRPr="00CC5DE3">
        <w:t xml:space="preserve">potential of </w:t>
      </w:r>
      <w:proofErr w:type="spellStart"/>
      <w:r w:rsidR="004012D1" w:rsidRPr="00CC5DE3">
        <w:t>nHAP</w:t>
      </w:r>
      <w:proofErr w:type="spellEnd"/>
      <w:r w:rsidR="004012D1" w:rsidRPr="00CC5DE3">
        <w:t xml:space="preserve"> </w:t>
      </w:r>
      <w:r w:rsidR="00AB0469" w:rsidRPr="00CC5DE3">
        <w:t xml:space="preserve">– alone or combined with other molecules – </w:t>
      </w:r>
      <w:r w:rsidR="00D02BD6" w:rsidRPr="00CC5DE3">
        <w:t xml:space="preserve">to be used as </w:t>
      </w:r>
      <w:r w:rsidR="000B33D5">
        <w:t xml:space="preserve">a </w:t>
      </w:r>
      <w:r w:rsidR="004012D1" w:rsidRPr="00CC5DE3">
        <w:t xml:space="preserve">slow-release P fertilizer, </w:t>
      </w:r>
      <w:r w:rsidR="00D02BD6" w:rsidRPr="00CC5DE3">
        <w:t xml:space="preserve">as </w:t>
      </w:r>
      <w:r w:rsidR="000B33D5">
        <w:t xml:space="preserve">an </w:t>
      </w:r>
      <w:r w:rsidR="00D02BD6" w:rsidRPr="00CC5DE3">
        <w:t>N-carrier and micronutrient carrier</w:t>
      </w:r>
      <w:r w:rsidR="002B442D" w:rsidRPr="00CC5DE3">
        <w:t xml:space="preserve"> (Fellet et al., 2021)</w:t>
      </w:r>
      <w:r w:rsidR="00D02BD6" w:rsidRPr="00CC5DE3">
        <w:t xml:space="preserve">. </w:t>
      </w:r>
      <w:r w:rsidR="00AB0469" w:rsidRPr="00CC5DE3">
        <w:t xml:space="preserve">These findings may be due to the extremely low water solubility of bulk </w:t>
      </w:r>
      <w:r w:rsidR="002B442D" w:rsidRPr="00CC5DE3">
        <w:t xml:space="preserve">hydroxyapatite </w:t>
      </w:r>
      <w:r w:rsidR="00AB0469" w:rsidRPr="00CC5DE3">
        <w:t>(Taskin et al., 2018), although the greater surface area of nanoscale materials has the potential to increase P solubility, release rates, and soil mobility (</w:t>
      </w:r>
      <w:proofErr w:type="spellStart"/>
      <w:r w:rsidR="00AB0469" w:rsidRPr="00CC5DE3">
        <w:t>Szameitat</w:t>
      </w:r>
      <w:proofErr w:type="spellEnd"/>
      <w:r w:rsidR="00AB0469" w:rsidRPr="00CC5DE3">
        <w:t xml:space="preserve"> et al., 2021).</w:t>
      </w:r>
      <w:r w:rsidR="00B753E8" w:rsidRPr="00CC5DE3">
        <w:t xml:space="preserve"> </w:t>
      </w:r>
    </w:p>
    <w:p w14:paraId="0043F293" w14:textId="01811367" w:rsidR="00D02BD6" w:rsidRPr="00CC5DE3" w:rsidRDefault="00B753E8" w:rsidP="00982EAE">
      <w:pPr>
        <w:pStyle w:val="CETBodytext"/>
      </w:pPr>
      <w:r w:rsidRPr="00CC5DE3">
        <w:t xml:space="preserve">In addition, </w:t>
      </w:r>
      <w:r w:rsidR="00F05D60" w:rsidRPr="00CC5DE3">
        <w:t xml:space="preserve">a </w:t>
      </w:r>
      <w:r w:rsidR="0057095C">
        <w:t>fine-tuned</w:t>
      </w:r>
      <w:r w:rsidR="00F05D60" w:rsidRPr="00CC5DE3">
        <w:t xml:space="preserve"> P release from </w:t>
      </w:r>
      <w:proofErr w:type="spellStart"/>
      <w:r w:rsidR="00F05D60" w:rsidRPr="00CC5DE3">
        <w:t>nHAP</w:t>
      </w:r>
      <w:proofErr w:type="spellEnd"/>
      <w:r w:rsidR="00F05D60" w:rsidRPr="00CC5DE3">
        <w:t xml:space="preserve"> can be obtained through interactions with </w:t>
      </w:r>
      <w:r w:rsidR="0057095C">
        <w:t>phosphate-solubilizing</w:t>
      </w:r>
      <w:r w:rsidRPr="00CC5DE3">
        <w:t xml:space="preserve"> bacteria (PSB) or arbuscular mycorrhizal fungi. </w:t>
      </w:r>
      <w:r w:rsidR="0075552F" w:rsidRPr="00CC5DE3">
        <w:t xml:space="preserve">PSB are </w:t>
      </w:r>
      <w:proofErr w:type="spellStart"/>
      <w:r w:rsidR="0075552F" w:rsidRPr="00CC5DE3">
        <w:t>rhizospheric</w:t>
      </w:r>
      <w:proofErr w:type="spellEnd"/>
      <w:r w:rsidR="0075552F" w:rsidRPr="00CC5DE3">
        <w:t xml:space="preserve"> bacteria </w:t>
      </w:r>
      <w:r w:rsidR="00F05D60" w:rsidRPr="00CC5DE3">
        <w:t xml:space="preserve">capable </w:t>
      </w:r>
      <w:r w:rsidR="0057095C">
        <w:t>of solubilizing</w:t>
      </w:r>
      <w:r w:rsidR="00F05D60" w:rsidRPr="00CC5DE3">
        <w:t xml:space="preserve"> both organic and mineral sources of P </w:t>
      </w:r>
      <w:r w:rsidR="0057095C">
        <w:t>can</w:t>
      </w:r>
      <w:r w:rsidR="00F05D60" w:rsidRPr="00CC5DE3">
        <w:t xml:space="preserve"> </w:t>
      </w:r>
      <w:r w:rsidR="0075552F" w:rsidRPr="00CC5DE3">
        <w:t xml:space="preserve">enhance </w:t>
      </w:r>
      <w:r w:rsidR="0066580D">
        <w:t xml:space="preserve">the </w:t>
      </w:r>
      <w:r w:rsidR="0075552F" w:rsidRPr="00CC5DE3">
        <w:t xml:space="preserve">bioavailability of soil P. Isolates </w:t>
      </w:r>
      <w:r w:rsidR="00F05D60" w:rsidRPr="00CC5DE3">
        <w:t xml:space="preserve">of PSB </w:t>
      </w:r>
      <w:r w:rsidR="0075552F" w:rsidRPr="00CC5DE3">
        <w:t>have been obtained from numerous environments including agricultural soils</w:t>
      </w:r>
      <w:r w:rsidR="00F05D60" w:rsidRPr="00CC5DE3">
        <w:t xml:space="preserve"> </w:t>
      </w:r>
      <w:r w:rsidR="0075552F" w:rsidRPr="00CC5DE3">
        <w:t xml:space="preserve">with </w:t>
      </w:r>
      <w:r w:rsidR="0075552F" w:rsidRPr="00CC5DE3">
        <w:rPr>
          <w:i/>
          <w:iCs/>
        </w:rPr>
        <w:t>Pseudomonas</w:t>
      </w:r>
      <w:r w:rsidR="0075552F" w:rsidRPr="00CC5DE3">
        <w:t xml:space="preserve"> and </w:t>
      </w:r>
      <w:r w:rsidR="0075552F" w:rsidRPr="00CC5DE3">
        <w:rPr>
          <w:i/>
          <w:iCs/>
        </w:rPr>
        <w:t>Bacillus</w:t>
      </w:r>
      <w:r w:rsidR="0075552F" w:rsidRPr="00CC5DE3">
        <w:t xml:space="preserve"> species most represented among cultures. </w:t>
      </w:r>
      <w:r w:rsidR="00134453" w:rsidRPr="00CC5DE3">
        <w:t xml:space="preserve">Promising </w:t>
      </w:r>
      <w:proofErr w:type="gramStart"/>
      <w:r w:rsidR="0075552F" w:rsidRPr="00CC5DE3">
        <w:t>evidences</w:t>
      </w:r>
      <w:proofErr w:type="gramEnd"/>
      <w:r w:rsidR="0075552F" w:rsidRPr="00CC5DE3">
        <w:t xml:space="preserve"> after the addition of PSB to agricultural soils were recorded in terms of growth enhancements </w:t>
      </w:r>
      <w:r w:rsidR="00D85A4F">
        <w:t>in</w:t>
      </w:r>
      <w:r w:rsidR="00F05D60" w:rsidRPr="00CC5DE3">
        <w:t xml:space="preserve"> maize, wheat, soybean, barley</w:t>
      </w:r>
      <w:r w:rsidR="00D85A4F">
        <w:t>,</w:t>
      </w:r>
      <w:r w:rsidR="0075552F" w:rsidRPr="00CC5DE3">
        <w:t xml:space="preserve"> </w:t>
      </w:r>
      <w:r w:rsidR="00F05D60" w:rsidRPr="00CC5DE3">
        <w:t xml:space="preserve">and other minor crops (Yu et al., 2022). At last, early </w:t>
      </w:r>
      <w:r w:rsidR="00134453" w:rsidRPr="00CC5DE3">
        <w:t>results demonstrated that bacteria that solubilize P from bulk Ca</w:t>
      </w:r>
      <w:r w:rsidR="00134453" w:rsidRPr="00CC5DE3">
        <w:rPr>
          <w:vertAlign w:val="subscript"/>
        </w:rPr>
        <w:t>3</w:t>
      </w:r>
      <w:r w:rsidR="00134453" w:rsidRPr="00CC5DE3">
        <w:t>(PO</w:t>
      </w:r>
      <w:r w:rsidR="00134453" w:rsidRPr="00CC5DE3">
        <w:rPr>
          <w:vertAlign w:val="subscript"/>
        </w:rPr>
        <w:t>4</w:t>
      </w:r>
      <w:r w:rsidR="00134453" w:rsidRPr="00CC5DE3">
        <w:t>)</w:t>
      </w:r>
      <w:r w:rsidR="00134453" w:rsidRPr="00CC5DE3">
        <w:rPr>
          <w:vertAlign w:val="subscript"/>
        </w:rPr>
        <w:t>2</w:t>
      </w:r>
      <w:r w:rsidR="00134453" w:rsidRPr="00CC5DE3">
        <w:t xml:space="preserve"> and rock phosphates were also </w:t>
      </w:r>
      <w:r w:rsidR="00F05D60" w:rsidRPr="00CC5DE3">
        <w:t xml:space="preserve">able to promote P release from </w:t>
      </w:r>
      <w:proofErr w:type="spellStart"/>
      <w:r w:rsidR="00134453" w:rsidRPr="00CC5DE3">
        <w:t>nHAP</w:t>
      </w:r>
      <w:proofErr w:type="spellEnd"/>
      <w:r w:rsidR="00134453" w:rsidRPr="00CC5DE3">
        <w:t xml:space="preserve"> </w:t>
      </w:r>
      <w:r w:rsidR="00816E92" w:rsidRPr="00CC5DE3">
        <w:t>(Monroy Miguel et al. 2020)</w:t>
      </w:r>
      <w:r w:rsidR="00134453" w:rsidRPr="00CC5DE3">
        <w:t xml:space="preserve">. </w:t>
      </w:r>
    </w:p>
    <w:p w14:paraId="4449915B" w14:textId="4745F4B8" w:rsidR="0075552F" w:rsidRPr="00CC5DE3" w:rsidRDefault="0075552F" w:rsidP="00252CB3">
      <w:pPr>
        <w:pStyle w:val="CETBodytext"/>
      </w:pPr>
    </w:p>
    <w:p w14:paraId="5FBD5F28" w14:textId="48BAE0A9" w:rsidR="00252CB3" w:rsidRPr="00CC5DE3" w:rsidRDefault="00252CB3" w:rsidP="00252CB3">
      <w:pPr>
        <w:pStyle w:val="CETBodytext"/>
      </w:pPr>
      <w:r w:rsidRPr="00CC5DE3">
        <w:t xml:space="preserve">It is important for research to focus on further exploring the potential of </w:t>
      </w:r>
      <w:proofErr w:type="spellStart"/>
      <w:r w:rsidRPr="00CC5DE3">
        <w:t>nHAP</w:t>
      </w:r>
      <w:proofErr w:type="spellEnd"/>
      <w:r w:rsidRPr="00CC5DE3">
        <w:t xml:space="preserve">, which can be achieved through three main areas: </w:t>
      </w:r>
    </w:p>
    <w:p w14:paraId="7EF85DFD" w14:textId="474B4DF1" w:rsidR="00252CB3" w:rsidRPr="00CC5DE3" w:rsidRDefault="00252CB3" w:rsidP="00252CB3">
      <w:pPr>
        <w:pStyle w:val="CETBodytext"/>
      </w:pPr>
      <w:r w:rsidRPr="00CC5DE3">
        <w:t xml:space="preserve">1. Designing </w:t>
      </w:r>
      <w:proofErr w:type="spellStart"/>
      <w:r w:rsidRPr="00CC5DE3">
        <w:t>nHAP</w:t>
      </w:r>
      <w:proofErr w:type="spellEnd"/>
      <w:r w:rsidRPr="00CC5DE3">
        <w:t xml:space="preserve"> fertilizers that can fully utilize their potential for nutrient </w:t>
      </w:r>
      <w:proofErr w:type="gramStart"/>
      <w:r w:rsidRPr="00CC5DE3">
        <w:t>release</w:t>
      </w:r>
      <w:r w:rsidR="00D85A4F">
        <w:t>;</w:t>
      </w:r>
      <w:proofErr w:type="gramEnd"/>
    </w:p>
    <w:p w14:paraId="193AB8A9" w14:textId="4459A266" w:rsidR="00252CB3" w:rsidRPr="00CC5DE3" w:rsidRDefault="00252CB3" w:rsidP="00252CB3">
      <w:pPr>
        <w:pStyle w:val="CETBodytext"/>
      </w:pPr>
      <w:r w:rsidRPr="00CC5DE3">
        <w:lastRenderedPageBreak/>
        <w:t xml:space="preserve">2. Incorporating functionalized </w:t>
      </w:r>
      <w:proofErr w:type="spellStart"/>
      <w:r w:rsidRPr="00CC5DE3">
        <w:t>nHAP</w:t>
      </w:r>
      <w:proofErr w:type="spellEnd"/>
      <w:r w:rsidRPr="00CC5DE3">
        <w:t xml:space="preserve"> into crop fertilization plans</w:t>
      </w:r>
      <w:r w:rsidR="00EB122E">
        <w:t>;</w:t>
      </w:r>
      <w:r w:rsidRPr="00CC5DE3">
        <w:t xml:space="preserve"> and </w:t>
      </w:r>
    </w:p>
    <w:p w14:paraId="7CCAE7B5" w14:textId="77777777" w:rsidR="00252CB3" w:rsidRPr="00CC5DE3" w:rsidRDefault="00252CB3" w:rsidP="00252CB3">
      <w:pPr>
        <w:pStyle w:val="CETBodytext"/>
      </w:pPr>
      <w:r w:rsidRPr="00CC5DE3">
        <w:t xml:space="preserve">3. Developing new fertilization techniques by combining nanohybrids and microorganisms to further enhance the effectiveness of </w:t>
      </w:r>
      <w:proofErr w:type="spellStart"/>
      <w:r w:rsidRPr="00CC5DE3">
        <w:t>nanofertilizers</w:t>
      </w:r>
      <w:proofErr w:type="spellEnd"/>
      <w:r w:rsidRPr="00CC5DE3">
        <w:t xml:space="preserve">. </w:t>
      </w:r>
    </w:p>
    <w:p w14:paraId="36F95CE1" w14:textId="0F28136D" w:rsidR="00252CB3" w:rsidRPr="00CC5DE3" w:rsidRDefault="00252CB3" w:rsidP="00252CB3">
      <w:pPr>
        <w:pStyle w:val="CETBodytext"/>
      </w:pPr>
      <w:r w:rsidRPr="00CC5DE3">
        <w:t xml:space="preserve">Table 1 provides an updated literature review on the various applications of </w:t>
      </w:r>
      <w:proofErr w:type="spellStart"/>
      <w:r w:rsidRPr="00CC5DE3">
        <w:t>nHAP</w:t>
      </w:r>
      <w:proofErr w:type="spellEnd"/>
      <w:r w:rsidRPr="00CC5DE3">
        <w:t xml:space="preserve"> in agriculture, including its use as a fertilizer or for crop protection purposes. This information supplements the research conducted by Fellet et al. (2021).</w:t>
      </w:r>
    </w:p>
    <w:p w14:paraId="716ABFE8" w14:textId="77777777" w:rsidR="009A177B" w:rsidRPr="00CC5DE3" w:rsidRDefault="009A177B" w:rsidP="009A177B">
      <w:pPr>
        <w:pStyle w:val="CETTabletitle"/>
        <w:rPr>
          <w:lang w:val="en-US"/>
        </w:rPr>
      </w:pPr>
      <w:r w:rsidRPr="00CC5DE3">
        <w:rPr>
          <w:lang w:val="en-US"/>
        </w:rPr>
        <w:t xml:space="preserve">Table 1: Literature update on </w:t>
      </w:r>
      <w:proofErr w:type="spellStart"/>
      <w:r w:rsidRPr="00CC5DE3">
        <w:rPr>
          <w:lang w:val="en-US"/>
        </w:rPr>
        <w:t>nHAP</w:t>
      </w:r>
      <w:proofErr w:type="spellEnd"/>
      <w:r w:rsidRPr="00CC5DE3">
        <w:rPr>
          <w:lang w:val="en-US"/>
        </w:rPr>
        <w:t xml:space="preserve"> applications in agriculture, after Fellet et al. (2021).</w:t>
      </w:r>
    </w:p>
    <w:tbl>
      <w:tblPr>
        <w:tblW w:w="876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2551"/>
        <w:gridCol w:w="2716"/>
        <w:gridCol w:w="1940"/>
      </w:tblGrid>
      <w:tr w:rsidR="002E7F03" w:rsidRPr="00CC5DE3" w14:paraId="208B1C02" w14:textId="77777777" w:rsidTr="00AE0405">
        <w:trPr>
          <w:trHeight w:val="250"/>
        </w:trPr>
        <w:tc>
          <w:tcPr>
            <w:tcW w:w="1560" w:type="dxa"/>
            <w:tcBorders>
              <w:top w:val="single" w:sz="12" w:space="0" w:color="008000"/>
              <w:bottom w:val="single" w:sz="6" w:space="0" w:color="008000"/>
            </w:tcBorders>
            <w:shd w:val="clear" w:color="auto" w:fill="FFFFFF"/>
            <w:tcMar>
              <w:top w:w="0" w:type="dxa"/>
              <w:left w:w="57" w:type="dxa"/>
              <w:bottom w:w="0" w:type="dxa"/>
              <w:right w:w="57" w:type="dxa"/>
            </w:tcMar>
          </w:tcPr>
          <w:p w14:paraId="6B4E40DE" w14:textId="77777777" w:rsidR="002E7F03" w:rsidRPr="00CC5DE3" w:rsidRDefault="002E7F03" w:rsidP="00E01510">
            <w:pPr>
              <w:pStyle w:val="CETBodytext"/>
            </w:pPr>
            <w:r w:rsidRPr="00CC5DE3">
              <w:t>Species</w:t>
            </w:r>
          </w:p>
        </w:tc>
        <w:tc>
          <w:tcPr>
            <w:tcW w:w="2551" w:type="dxa"/>
            <w:tcBorders>
              <w:top w:val="single" w:sz="12" w:space="0" w:color="008000"/>
              <w:bottom w:val="single" w:sz="6" w:space="0" w:color="008000"/>
            </w:tcBorders>
            <w:shd w:val="clear" w:color="auto" w:fill="FFFFFF"/>
            <w:tcMar>
              <w:top w:w="0" w:type="dxa"/>
              <w:left w:w="57" w:type="dxa"/>
              <w:bottom w:w="0" w:type="dxa"/>
              <w:right w:w="57" w:type="dxa"/>
            </w:tcMar>
          </w:tcPr>
          <w:p w14:paraId="341B68E7" w14:textId="77777777" w:rsidR="002E7F03" w:rsidRPr="00CC5DE3" w:rsidRDefault="002E7F03" w:rsidP="00E01510">
            <w:pPr>
              <w:pStyle w:val="CETBodytext"/>
            </w:pPr>
            <w:r w:rsidRPr="00CC5DE3">
              <w:t>Treatment</w:t>
            </w:r>
          </w:p>
        </w:tc>
        <w:tc>
          <w:tcPr>
            <w:tcW w:w="2716" w:type="dxa"/>
            <w:tcBorders>
              <w:top w:val="single" w:sz="12" w:space="0" w:color="008000"/>
              <w:bottom w:val="single" w:sz="6" w:space="0" w:color="008000"/>
            </w:tcBorders>
            <w:shd w:val="clear" w:color="auto" w:fill="FFFFFF"/>
            <w:tcMar>
              <w:top w:w="0" w:type="dxa"/>
              <w:left w:w="57" w:type="dxa"/>
              <w:bottom w:w="0" w:type="dxa"/>
              <w:right w:w="57" w:type="dxa"/>
            </w:tcMar>
          </w:tcPr>
          <w:p w14:paraId="1A944142" w14:textId="77777777" w:rsidR="002E7F03" w:rsidRPr="00CC5DE3" w:rsidRDefault="002E7F03" w:rsidP="00E01510">
            <w:pPr>
              <w:pStyle w:val="CETBodytext"/>
              <w:ind w:right="-1"/>
              <w:rPr>
                <w:rFonts w:cs="Arial"/>
                <w:szCs w:val="18"/>
              </w:rPr>
            </w:pPr>
            <w:r w:rsidRPr="00CC5DE3">
              <w:rPr>
                <w:rFonts w:cs="Arial"/>
                <w:szCs w:val="18"/>
              </w:rPr>
              <w:t>Conditions</w:t>
            </w:r>
          </w:p>
        </w:tc>
        <w:tc>
          <w:tcPr>
            <w:tcW w:w="1940" w:type="dxa"/>
            <w:tcBorders>
              <w:top w:val="single" w:sz="12" w:space="0" w:color="008000"/>
              <w:bottom w:val="single" w:sz="6" w:space="0" w:color="008000"/>
            </w:tcBorders>
            <w:shd w:val="clear" w:color="auto" w:fill="FFFFFF"/>
            <w:tcMar>
              <w:top w:w="0" w:type="dxa"/>
              <w:left w:w="57" w:type="dxa"/>
              <w:bottom w:w="0" w:type="dxa"/>
              <w:right w:w="57" w:type="dxa"/>
            </w:tcMar>
          </w:tcPr>
          <w:p w14:paraId="44984490" w14:textId="77777777" w:rsidR="002E7F03" w:rsidRPr="00CC5DE3" w:rsidRDefault="002E7F03" w:rsidP="00E01510">
            <w:pPr>
              <w:pStyle w:val="CETBodytext"/>
              <w:ind w:right="-1"/>
              <w:rPr>
                <w:rFonts w:cs="Arial"/>
                <w:szCs w:val="18"/>
              </w:rPr>
            </w:pPr>
            <w:r w:rsidRPr="00CC5DE3">
              <w:rPr>
                <w:rFonts w:cs="Arial"/>
                <w:szCs w:val="18"/>
              </w:rPr>
              <w:t>References</w:t>
            </w:r>
          </w:p>
        </w:tc>
      </w:tr>
      <w:tr w:rsidR="002E7F03" w:rsidRPr="00CC5DE3" w14:paraId="5F22AC0B" w14:textId="77777777" w:rsidTr="00AE0405">
        <w:trPr>
          <w:trHeight w:val="250"/>
        </w:trPr>
        <w:tc>
          <w:tcPr>
            <w:tcW w:w="1560" w:type="dxa"/>
            <w:shd w:val="clear" w:color="auto" w:fill="FFFFFF"/>
            <w:tcMar>
              <w:top w:w="0" w:type="dxa"/>
              <w:left w:w="57" w:type="dxa"/>
              <w:bottom w:w="0" w:type="dxa"/>
              <w:right w:w="57" w:type="dxa"/>
            </w:tcMar>
          </w:tcPr>
          <w:p w14:paraId="1746ADBD" w14:textId="7997DA17" w:rsidR="002E7F03" w:rsidRPr="00CC5DE3" w:rsidRDefault="002E7F03" w:rsidP="00C40484">
            <w:pPr>
              <w:pStyle w:val="CETBodytext"/>
              <w:jc w:val="left"/>
            </w:pPr>
            <w:r w:rsidRPr="00CC5DE3">
              <w:rPr>
                <w:rFonts w:cs="Arial"/>
                <w:i/>
                <w:iCs/>
                <w:szCs w:val="18"/>
              </w:rPr>
              <w:t xml:space="preserve">Solanum </w:t>
            </w:r>
            <w:proofErr w:type="spellStart"/>
            <w:r w:rsidRPr="00CC5DE3">
              <w:rPr>
                <w:rFonts w:cs="Arial"/>
                <w:i/>
                <w:iCs/>
                <w:szCs w:val="18"/>
              </w:rPr>
              <w:t>lycopersicum</w:t>
            </w:r>
            <w:proofErr w:type="spellEnd"/>
            <w:r w:rsidRPr="00CC5DE3">
              <w:rPr>
                <w:rFonts w:cs="Arial"/>
                <w:i/>
                <w:iCs/>
                <w:szCs w:val="18"/>
              </w:rPr>
              <w:t xml:space="preserve"> </w:t>
            </w:r>
          </w:p>
        </w:tc>
        <w:tc>
          <w:tcPr>
            <w:tcW w:w="2551" w:type="dxa"/>
            <w:shd w:val="clear" w:color="auto" w:fill="FFFFFF"/>
            <w:tcMar>
              <w:top w:w="0" w:type="dxa"/>
              <w:left w:w="57" w:type="dxa"/>
              <w:bottom w:w="0" w:type="dxa"/>
              <w:right w:w="57" w:type="dxa"/>
            </w:tcMar>
          </w:tcPr>
          <w:p w14:paraId="17FFC8C9" w14:textId="57BEDCEA" w:rsidR="002E7F03" w:rsidRPr="00CC5DE3" w:rsidRDefault="002E7F03" w:rsidP="002E7F03">
            <w:pPr>
              <w:pStyle w:val="CETBodytext"/>
              <w:jc w:val="left"/>
            </w:pPr>
            <w:r w:rsidRPr="00CC5DE3">
              <w:t xml:space="preserve">Small </w:t>
            </w:r>
            <w:proofErr w:type="spellStart"/>
            <w:r w:rsidRPr="00CC5DE3">
              <w:t>nHAP</w:t>
            </w:r>
            <w:proofErr w:type="spellEnd"/>
            <w:r w:rsidRPr="00CC5DE3">
              <w:t xml:space="preserve">, 10 x 10/20 </w:t>
            </w:r>
            <w:proofErr w:type="gramStart"/>
            <w:r w:rsidRPr="00CC5DE3">
              <w:t>nm;</w:t>
            </w:r>
            <w:proofErr w:type="gramEnd"/>
          </w:p>
          <w:p w14:paraId="3C5E9FE9" w14:textId="4B4828DF" w:rsidR="002E7F03" w:rsidRPr="00CC5DE3" w:rsidRDefault="002E7F03" w:rsidP="002E7F03">
            <w:pPr>
              <w:pStyle w:val="CETBodytext"/>
              <w:jc w:val="left"/>
            </w:pPr>
            <w:r w:rsidRPr="00CC5DE3">
              <w:t xml:space="preserve">Large </w:t>
            </w:r>
            <w:proofErr w:type="spellStart"/>
            <w:r w:rsidRPr="00CC5DE3">
              <w:t>nHAP</w:t>
            </w:r>
            <w:proofErr w:type="spellEnd"/>
            <w:r w:rsidRPr="00CC5DE3">
              <w:t>, 20 x 100/200 nm</w:t>
            </w:r>
          </w:p>
        </w:tc>
        <w:tc>
          <w:tcPr>
            <w:tcW w:w="2716" w:type="dxa"/>
            <w:shd w:val="clear" w:color="auto" w:fill="FFFFFF"/>
            <w:tcMar>
              <w:top w:w="0" w:type="dxa"/>
              <w:left w:w="57" w:type="dxa"/>
              <w:bottom w:w="0" w:type="dxa"/>
              <w:right w:w="57" w:type="dxa"/>
            </w:tcMar>
          </w:tcPr>
          <w:p w14:paraId="75DAAABB" w14:textId="7C55C2F5" w:rsidR="002E7F03" w:rsidRPr="00CC5DE3" w:rsidRDefault="002E7F03" w:rsidP="002E7F03">
            <w:pPr>
              <w:pStyle w:val="CETBodytext"/>
              <w:ind w:right="-1"/>
              <w:jc w:val="left"/>
              <w:rPr>
                <w:rFonts w:cs="Arial"/>
                <w:szCs w:val="18"/>
              </w:rPr>
            </w:pPr>
            <w:r w:rsidRPr="00CC5DE3">
              <w:rPr>
                <w:rFonts w:cs="Arial"/>
                <w:szCs w:val="18"/>
              </w:rPr>
              <w:t>Greenhouse, pot experiment.</w:t>
            </w:r>
            <w:r w:rsidRPr="00CC5DE3">
              <w:rPr>
                <w:rFonts w:cs="Arial"/>
                <w:szCs w:val="18"/>
              </w:rPr>
              <w:br/>
            </w:r>
            <w:r w:rsidRPr="00CC5DE3">
              <w:rPr>
                <w:rFonts w:cs="Arial"/>
                <w:i/>
                <w:iCs/>
                <w:szCs w:val="18"/>
              </w:rPr>
              <w:t>Fusarium</w:t>
            </w:r>
            <w:r w:rsidRPr="00CC5DE3">
              <w:rPr>
                <w:rFonts w:cs="Arial"/>
                <w:szCs w:val="18"/>
              </w:rPr>
              <w:t>-infected plants)</w:t>
            </w:r>
          </w:p>
        </w:tc>
        <w:tc>
          <w:tcPr>
            <w:tcW w:w="1940" w:type="dxa"/>
            <w:shd w:val="clear" w:color="auto" w:fill="FFFFFF"/>
            <w:tcMar>
              <w:top w:w="0" w:type="dxa"/>
              <w:left w:w="57" w:type="dxa"/>
              <w:bottom w:w="0" w:type="dxa"/>
              <w:right w:w="57" w:type="dxa"/>
            </w:tcMar>
          </w:tcPr>
          <w:p w14:paraId="60D4CF54" w14:textId="77777777" w:rsidR="002E7F03" w:rsidRPr="00CC5DE3" w:rsidRDefault="002E7F03" w:rsidP="00E01510">
            <w:pPr>
              <w:pStyle w:val="CETBodytext"/>
              <w:ind w:right="-1"/>
              <w:rPr>
                <w:rFonts w:cs="Arial"/>
                <w:szCs w:val="18"/>
              </w:rPr>
            </w:pPr>
            <w:r w:rsidRPr="00CC5DE3">
              <w:rPr>
                <w:rFonts w:cs="Arial"/>
                <w:szCs w:val="18"/>
              </w:rPr>
              <w:t>Ma et al. (2021)</w:t>
            </w:r>
          </w:p>
        </w:tc>
      </w:tr>
      <w:tr w:rsidR="002E7F03" w:rsidRPr="00CC5DE3" w14:paraId="429CFE0D" w14:textId="77777777" w:rsidTr="00AE0405">
        <w:trPr>
          <w:trHeight w:val="250"/>
        </w:trPr>
        <w:tc>
          <w:tcPr>
            <w:tcW w:w="1560" w:type="dxa"/>
            <w:shd w:val="clear" w:color="auto" w:fill="FFFFFF"/>
            <w:tcMar>
              <w:top w:w="0" w:type="dxa"/>
              <w:left w:w="57" w:type="dxa"/>
              <w:bottom w:w="0" w:type="dxa"/>
              <w:right w:w="57" w:type="dxa"/>
            </w:tcMar>
          </w:tcPr>
          <w:p w14:paraId="3A6DF9A4" w14:textId="77777777" w:rsidR="002E7F03" w:rsidRPr="00CC5DE3" w:rsidRDefault="002E7F03" w:rsidP="00C40484">
            <w:pPr>
              <w:pStyle w:val="CETBodytext"/>
              <w:jc w:val="left"/>
              <w:rPr>
                <w:rFonts w:cs="Arial"/>
                <w:i/>
                <w:iCs/>
                <w:szCs w:val="18"/>
              </w:rPr>
            </w:pPr>
            <w:r w:rsidRPr="00CC5DE3">
              <w:rPr>
                <w:rFonts w:cs="Arial"/>
                <w:i/>
                <w:iCs/>
                <w:szCs w:val="18"/>
              </w:rPr>
              <w:t xml:space="preserve">Solanum </w:t>
            </w:r>
            <w:proofErr w:type="spellStart"/>
            <w:r w:rsidRPr="00CC5DE3">
              <w:rPr>
                <w:rFonts w:cs="Arial"/>
                <w:i/>
                <w:iCs/>
                <w:szCs w:val="18"/>
              </w:rPr>
              <w:t>lycopersicum</w:t>
            </w:r>
            <w:proofErr w:type="spellEnd"/>
          </w:p>
        </w:tc>
        <w:tc>
          <w:tcPr>
            <w:tcW w:w="2551" w:type="dxa"/>
            <w:shd w:val="clear" w:color="auto" w:fill="FFFFFF"/>
            <w:tcMar>
              <w:top w:w="0" w:type="dxa"/>
              <w:left w:w="57" w:type="dxa"/>
              <w:bottom w:w="0" w:type="dxa"/>
              <w:right w:w="57" w:type="dxa"/>
            </w:tcMar>
          </w:tcPr>
          <w:p w14:paraId="280EDBE6" w14:textId="191D9F1A" w:rsidR="002E7F03" w:rsidRPr="00CC5DE3" w:rsidRDefault="00AE0405" w:rsidP="002E7F03">
            <w:pPr>
              <w:pStyle w:val="CETBodytext"/>
              <w:jc w:val="left"/>
              <w:rPr>
                <w:szCs w:val="18"/>
              </w:rPr>
            </w:pPr>
            <w:r w:rsidRPr="00CC5DE3">
              <w:rPr>
                <w:szCs w:val="18"/>
              </w:rPr>
              <w:t>S</w:t>
            </w:r>
            <w:r w:rsidR="002E7F03" w:rsidRPr="00CC5DE3">
              <w:rPr>
                <w:szCs w:val="18"/>
              </w:rPr>
              <w:t xml:space="preserve">pherical shaped &lt;200 nm </w:t>
            </w:r>
            <w:proofErr w:type="spellStart"/>
            <w:r w:rsidR="002E7F03" w:rsidRPr="00CC5DE3">
              <w:rPr>
                <w:szCs w:val="18"/>
              </w:rPr>
              <w:t>nHAP</w:t>
            </w:r>
            <w:proofErr w:type="spellEnd"/>
          </w:p>
        </w:tc>
        <w:tc>
          <w:tcPr>
            <w:tcW w:w="2716" w:type="dxa"/>
            <w:shd w:val="clear" w:color="auto" w:fill="FFFFFF"/>
            <w:tcMar>
              <w:top w:w="0" w:type="dxa"/>
              <w:left w:w="57" w:type="dxa"/>
              <w:bottom w:w="0" w:type="dxa"/>
              <w:right w:w="57" w:type="dxa"/>
            </w:tcMar>
          </w:tcPr>
          <w:p w14:paraId="5D16DFCB" w14:textId="20C1B3BD" w:rsidR="002E7F03" w:rsidRPr="00CC5DE3" w:rsidRDefault="002E7F03" w:rsidP="002E7F03">
            <w:pPr>
              <w:pStyle w:val="CETBodytext"/>
              <w:ind w:right="-1"/>
              <w:jc w:val="left"/>
              <w:rPr>
                <w:szCs w:val="18"/>
              </w:rPr>
            </w:pPr>
            <w:r w:rsidRPr="00CC5DE3">
              <w:rPr>
                <w:szCs w:val="18"/>
              </w:rPr>
              <w:t>Growth room pot experiment; acidic, neutral</w:t>
            </w:r>
            <w:r w:rsidR="007D5708">
              <w:rPr>
                <w:szCs w:val="18"/>
              </w:rPr>
              <w:t>,</w:t>
            </w:r>
            <w:r w:rsidRPr="00CC5DE3">
              <w:rPr>
                <w:szCs w:val="18"/>
              </w:rPr>
              <w:t xml:space="preserve"> and basic soil</w:t>
            </w:r>
          </w:p>
        </w:tc>
        <w:tc>
          <w:tcPr>
            <w:tcW w:w="1940" w:type="dxa"/>
            <w:shd w:val="clear" w:color="auto" w:fill="FFFFFF"/>
            <w:tcMar>
              <w:top w:w="0" w:type="dxa"/>
              <w:left w:w="57" w:type="dxa"/>
              <w:bottom w:w="0" w:type="dxa"/>
              <w:right w:w="57" w:type="dxa"/>
            </w:tcMar>
          </w:tcPr>
          <w:p w14:paraId="51945566" w14:textId="77777777" w:rsidR="002E7F03" w:rsidRPr="00CC5DE3" w:rsidRDefault="002E7F03" w:rsidP="00C40484">
            <w:pPr>
              <w:pStyle w:val="CETBodytext"/>
              <w:ind w:right="-1"/>
              <w:rPr>
                <w:rFonts w:cs="Arial"/>
                <w:szCs w:val="18"/>
              </w:rPr>
            </w:pPr>
            <w:r w:rsidRPr="00CC5DE3">
              <w:rPr>
                <w:rFonts w:cs="Arial"/>
                <w:szCs w:val="18"/>
              </w:rPr>
              <w:t>Priyam et al. (2022a)</w:t>
            </w:r>
          </w:p>
        </w:tc>
      </w:tr>
      <w:tr w:rsidR="002E7F03" w:rsidRPr="00CC5DE3" w14:paraId="05BE7A31" w14:textId="77777777" w:rsidTr="00AE0405">
        <w:trPr>
          <w:trHeight w:val="250"/>
        </w:trPr>
        <w:tc>
          <w:tcPr>
            <w:tcW w:w="1560" w:type="dxa"/>
            <w:shd w:val="clear" w:color="auto" w:fill="FFFFFF"/>
            <w:tcMar>
              <w:top w:w="0" w:type="dxa"/>
              <w:left w:w="57" w:type="dxa"/>
              <w:bottom w:w="0" w:type="dxa"/>
              <w:right w:w="57" w:type="dxa"/>
            </w:tcMar>
          </w:tcPr>
          <w:p w14:paraId="286CEBA7" w14:textId="77777777" w:rsidR="00AE0405" w:rsidRPr="00CC5DE3" w:rsidRDefault="002E7F03" w:rsidP="00C40484">
            <w:pPr>
              <w:pStyle w:val="CETBodytext"/>
              <w:ind w:right="-1"/>
              <w:jc w:val="left"/>
              <w:rPr>
                <w:rFonts w:cs="Arial"/>
                <w:i/>
                <w:iCs/>
                <w:szCs w:val="18"/>
              </w:rPr>
            </w:pPr>
            <w:r w:rsidRPr="00CC5DE3">
              <w:rPr>
                <w:rFonts w:cs="Arial"/>
                <w:i/>
                <w:iCs/>
                <w:szCs w:val="18"/>
              </w:rPr>
              <w:t>Oryza sativa</w:t>
            </w:r>
          </w:p>
          <w:p w14:paraId="3EC7C742" w14:textId="1790C89D" w:rsidR="002E7F03" w:rsidRPr="00CC5DE3" w:rsidRDefault="002E7F03" w:rsidP="00C40484">
            <w:pPr>
              <w:pStyle w:val="CETBodytext"/>
              <w:ind w:right="-1"/>
              <w:jc w:val="left"/>
              <w:rPr>
                <w:rFonts w:cs="Arial"/>
                <w:szCs w:val="18"/>
              </w:rPr>
            </w:pPr>
            <w:r w:rsidRPr="00CC5DE3">
              <w:rPr>
                <w:rFonts w:cs="Arial"/>
                <w:szCs w:val="18"/>
              </w:rPr>
              <w:t xml:space="preserve">subsp. </w:t>
            </w:r>
            <w:r w:rsidRPr="00CC5DE3">
              <w:rPr>
                <w:rFonts w:cs="Arial"/>
                <w:i/>
                <w:iCs/>
                <w:szCs w:val="18"/>
              </w:rPr>
              <w:t>japonica</w:t>
            </w:r>
            <w:r w:rsidRPr="00CC5DE3">
              <w:rPr>
                <w:rFonts w:cs="Arial"/>
                <w:szCs w:val="18"/>
              </w:rPr>
              <w:t xml:space="preserve"> </w:t>
            </w:r>
          </w:p>
        </w:tc>
        <w:tc>
          <w:tcPr>
            <w:tcW w:w="2551" w:type="dxa"/>
            <w:shd w:val="clear" w:color="auto" w:fill="FFFFFF"/>
            <w:tcMar>
              <w:top w:w="0" w:type="dxa"/>
              <w:left w:w="57" w:type="dxa"/>
              <w:bottom w:w="0" w:type="dxa"/>
              <w:right w:w="57" w:type="dxa"/>
            </w:tcMar>
          </w:tcPr>
          <w:p w14:paraId="113400E0" w14:textId="566765E5" w:rsidR="00857389" w:rsidRPr="00CC5DE3" w:rsidRDefault="007D5708" w:rsidP="002E7F03">
            <w:pPr>
              <w:pStyle w:val="CETBodytext"/>
              <w:ind w:right="-1"/>
              <w:jc w:val="left"/>
              <w:rPr>
                <w:rFonts w:cs="Arial"/>
                <w:szCs w:val="18"/>
              </w:rPr>
            </w:pPr>
            <w:r>
              <w:rPr>
                <w:rFonts w:cs="Arial"/>
                <w:szCs w:val="18"/>
              </w:rPr>
              <w:t>Biologically</w:t>
            </w:r>
            <w:r w:rsidR="00857389" w:rsidRPr="00CC5DE3">
              <w:rPr>
                <w:rFonts w:cs="Arial"/>
                <w:szCs w:val="18"/>
              </w:rPr>
              <w:t xml:space="preserve"> synthesized </w:t>
            </w:r>
            <w:proofErr w:type="spellStart"/>
            <w:r w:rsidR="00857389" w:rsidRPr="00CC5DE3">
              <w:rPr>
                <w:rFonts w:cs="Arial"/>
                <w:szCs w:val="18"/>
              </w:rPr>
              <w:t>nHAP</w:t>
            </w:r>
            <w:proofErr w:type="spellEnd"/>
          </w:p>
        </w:tc>
        <w:tc>
          <w:tcPr>
            <w:tcW w:w="2716" w:type="dxa"/>
            <w:shd w:val="clear" w:color="auto" w:fill="FFFFFF"/>
            <w:tcMar>
              <w:top w:w="0" w:type="dxa"/>
              <w:left w:w="57" w:type="dxa"/>
              <w:bottom w:w="0" w:type="dxa"/>
              <w:right w:w="57" w:type="dxa"/>
            </w:tcMar>
          </w:tcPr>
          <w:p w14:paraId="1312594F" w14:textId="31D99CCC" w:rsidR="002E7F03" w:rsidRPr="00CC5DE3" w:rsidRDefault="00AE0405" w:rsidP="006032BA">
            <w:pPr>
              <w:pStyle w:val="CETBodytext"/>
              <w:ind w:right="-1"/>
              <w:jc w:val="left"/>
              <w:rPr>
                <w:rFonts w:cs="Arial"/>
                <w:szCs w:val="18"/>
              </w:rPr>
            </w:pPr>
            <w:r w:rsidRPr="00CC5DE3">
              <w:rPr>
                <w:szCs w:val="18"/>
              </w:rPr>
              <w:t>Growth room pot experiment; normal, high calcareous soil, low calcareous soil</w:t>
            </w:r>
          </w:p>
        </w:tc>
        <w:tc>
          <w:tcPr>
            <w:tcW w:w="1940" w:type="dxa"/>
            <w:shd w:val="clear" w:color="auto" w:fill="FFFFFF"/>
            <w:tcMar>
              <w:top w:w="0" w:type="dxa"/>
              <w:left w:w="57" w:type="dxa"/>
              <w:bottom w:w="0" w:type="dxa"/>
              <w:right w:w="57" w:type="dxa"/>
            </w:tcMar>
          </w:tcPr>
          <w:p w14:paraId="41F8ED90" w14:textId="77777777" w:rsidR="002E7F03" w:rsidRPr="00CC5DE3" w:rsidRDefault="002E7F03" w:rsidP="00C40484">
            <w:pPr>
              <w:pStyle w:val="CETBodytext"/>
              <w:ind w:right="-1"/>
              <w:rPr>
                <w:rFonts w:cs="Arial"/>
                <w:szCs w:val="18"/>
              </w:rPr>
            </w:pPr>
            <w:r w:rsidRPr="00CC5DE3">
              <w:rPr>
                <w:rFonts w:cs="Arial"/>
                <w:szCs w:val="18"/>
              </w:rPr>
              <w:t>Priyam et al. (2022b)</w:t>
            </w:r>
          </w:p>
        </w:tc>
      </w:tr>
      <w:tr w:rsidR="002E7F03" w:rsidRPr="00CC5DE3" w14:paraId="372E70E9" w14:textId="77777777" w:rsidTr="00AE0405">
        <w:trPr>
          <w:trHeight w:val="250"/>
        </w:trPr>
        <w:tc>
          <w:tcPr>
            <w:tcW w:w="1560" w:type="dxa"/>
            <w:shd w:val="clear" w:color="auto" w:fill="FFFFFF"/>
            <w:tcMar>
              <w:top w:w="0" w:type="dxa"/>
              <w:left w:w="57" w:type="dxa"/>
              <w:bottom w:w="0" w:type="dxa"/>
              <w:right w:w="57" w:type="dxa"/>
            </w:tcMar>
          </w:tcPr>
          <w:p w14:paraId="15B7E66A" w14:textId="72E82455" w:rsidR="002E7F03" w:rsidRPr="00CC5DE3" w:rsidRDefault="002E7F03" w:rsidP="00C40484">
            <w:pPr>
              <w:pStyle w:val="CETBodytext"/>
              <w:ind w:right="-1"/>
              <w:jc w:val="left"/>
              <w:rPr>
                <w:rFonts w:cs="Arial"/>
                <w:i/>
                <w:iCs/>
                <w:szCs w:val="18"/>
              </w:rPr>
            </w:pPr>
            <w:proofErr w:type="spellStart"/>
            <w:r w:rsidRPr="00CC5DE3">
              <w:rPr>
                <w:rFonts w:cs="Arial"/>
                <w:i/>
                <w:iCs/>
                <w:szCs w:val="18"/>
              </w:rPr>
              <w:t>Zea</w:t>
            </w:r>
            <w:proofErr w:type="spellEnd"/>
            <w:r w:rsidRPr="00CC5DE3">
              <w:rPr>
                <w:rFonts w:cs="Arial"/>
                <w:i/>
                <w:iCs/>
                <w:szCs w:val="18"/>
              </w:rPr>
              <w:t xml:space="preserve"> mays</w:t>
            </w:r>
          </w:p>
        </w:tc>
        <w:tc>
          <w:tcPr>
            <w:tcW w:w="2551" w:type="dxa"/>
            <w:shd w:val="clear" w:color="auto" w:fill="FFFFFF"/>
            <w:tcMar>
              <w:top w:w="0" w:type="dxa"/>
              <w:left w:w="57" w:type="dxa"/>
              <w:bottom w:w="0" w:type="dxa"/>
              <w:right w:w="57" w:type="dxa"/>
            </w:tcMar>
          </w:tcPr>
          <w:p w14:paraId="4B0F2448" w14:textId="20B0E449" w:rsidR="002E7F03" w:rsidRPr="00CC5DE3" w:rsidRDefault="00AE0405" w:rsidP="002E7F03">
            <w:pPr>
              <w:pStyle w:val="CETBodytext"/>
              <w:ind w:right="-1"/>
              <w:jc w:val="left"/>
              <w:rPr>
                <w:rFonts w:cs="Arial"/>
                <w:szCs w:val="18"/>
              </w:rPr>
            </w:pPr>
            <w:r w:rsidRPr="00CC5DE3">
              <w:rPr>
                <w:rFonts w:cs="Arial"/>
                <w:szCs w:val="18"/>
              </w:rPr>
              <w:t>R</w:t>
            </w:r>
            <w:r w:rsidR="002E7F03" w:rsidRPr="00CC5DE3">
              <w:rPr>
                <w:rFonts w:cs="Arial"/>
                <w:szCs w:val="18"/>
              </w:rPr>
              <w:t xml:space="preserve">od-like, hexagonal prism-like </w:t>
            </w:r>
            <w:proofErr w:type="spellStart"/>
            <w:r w:rsidR="002E7F03" w:rsidRPr="00CC5DE3">
              <w:rPr>
                <w:rFonts w:cs="Arial"/>
                <w:szCs w:val="18"/>
              </w:rPr>
              <w:t>nHAP</w:t>
            </w:r>
            <w:proofErr w:type="spellEnd"/>
          </w:p>
        </w:tc>
        <w:tc>
          <w:tcPr>
            <w:tcW w:w="2716" w:type="dxa"/>
            <w:shd w:val="clear" w:color="auto" w:fill="FFFFFF"/>
            <w:tcMar>
              <w:top w:w="0" w:type="dxa"/>
              <w:left w:w="57" w:type="dxa"/>
              <w:bottom w:w="0" w:type="dxa"/>
              <w:right w:w="57" w:type="dxa"/>
            </w:tcMar>
          </w:tcPr>
          <w:p w14:paraId="7066814B" w14:textId="6766C7DC" w:rsidR="002E7F03" w:rsidRPr="00CC5DE3" w:rsidRDefault="002E7F03" w:rsidP="002E7F03">
            <w:pPr>
              <w:pStyle w:val="CETBodytext"/>
              <w:ind w:right="-1"/>
              <w:jc w:val="left"/>
              <w:rPr>
                <w:rFonts w:cs="Arial"/>
                <w:szCs w:val="18"/>
              </w:rPr>
            </w:pPr>
            <w:r w:rsidRPr="00CC5DE3">
              <w:rPr>
                <w:rFonts w:cs="Arial"/>
                <w:szCs w:val="18"/>
              </w:rPr>
              <w:t>Greenhouse pot experiments</w:t>
            </w:r>
          </w:p>
        </w:tc>
        <w:tc>
          <w:tcPr>
            <w:tcW w:w="1940" w:type="dxa"/>
            <w:shd w:val="clear" w:color="auto" w:fill="FFFFFF"/>
            <w:tcMar>
              <w:top w:w="0" w:type="dxa"/>
              <w:left w:w="57" w:type="dxa"/>
              <w:bottom w:w="0" w:type="dxa"/>
              <w:right w:w="57" w:type="dxa"/>
            </w:tcMar>
          </w:tcPr>
          <w:p w14:paraId="277B1056" w14:textId="77777777" w:rsidR="002E7F03" w:rsidRPr="00CC5DE3" w:rsidRDefault="002E7F03" w:rsidP="00E01510">
            <w:pPr>
              <w:pStyle w:val="CETBodytext"/>
              <w:ind w:right="-1"/>
              <w:rPr>
                <w:rFonts w:cs="Arial"/>
                <w:szCs w:val="18"/>
              </w:rPr>
            </w:pPr>
            <w:r w:rsidRPr="00CC5DE3">
              <w:rPr>
                <w:szCs w:val="18"/>
              </w:rPr>
              <w:t>Tang et al. (2023)</w:t>
            </w:r>
          </w:p>
        </w:tc>
      </w:tr>
      <w:tr w:rsidR="002E7F03" w:rsidRPr="00CC5DE3" w14:paraId="236EA539" w14:textId="77777777" w:rsidTr="00AE0405">
        <w:trPr>
          <w:trHeight w:val="250"/>
        </w:trPr>
        <w:tc>
          <w:tcPr>
            <w:tcW w:w="1560" w:type="dxa"/>
            <w:shd w:val="clear" w:color="auto" w:fill="FFFFFF"/>
            <w:tcMar>
              <w:top w:w="0" w:type="dxa"/>
              <w:left w:w="57" w:type="dxa"/>
              <w:bottom w:w="0" w:type="dxa"/>
              <w:right w:w="57" w:type="dxa"/>
            </w:tcMar>
          </w:tcPr>
          <w:p w14:paraId="3BC94C79" w14:textId="77777777" w:rsidR="002E7F03" w:rsidRPr="00CC5DE3" w:rsidRDefault="002E7F03" w:rsidP="00C40484">
            <w:pPr>
              <w:pStyle w:val="CETBodytext"/>
              <w:ind w:right="-1"/>
              <w:jc w:val="left"/>
              <w:rPr>
                <w:rFonts w:cs="Arial"/>
                <w:szCs w:val="18"/>
              </w:rPr>
            </w:pPr>
            <w:r w:rsidRPr="00CC5DE3">
              <w:rPr>
                <w:rFonts w:cs="Arial"/>
                <w:i/>
                <w:iCs/>
                <w:szCs w:val="18"/>
              </w:rPr>
              <w:t xml:space="preserve">Solanum </w:t>
            </w:r>
            <w:proofErr w:type="spellStart"/>
            <w:r w:rsidRPr="00CC5DE3">
              <w:rPr>
                <w:rFonts w:cs="Arial"/>
                <w:i/>
                <w:iCs/>
                <w:szCs w:val="18"/>
              </w:rPr>
              <w:t>lycopersicum</w:t>
            </w:r>
            <w:proofErr w:type="spellEnd"/>
          </w:p>
        </w:tc>
        <w:tc>
          <w:tcPr>
            <w:tcW w:w="2551" w:type="dxa"/>
            <w:shd w:val="clear" w:color="auto" w:fill="FFFFFF"/>
            <w:tcMar>
              <w:top w:w="0" w:type="dxa"/>
              <w:left w:w="57" w:type="dxa"/>
              <w:bottom w:w="0" w:type="dxa"/>
              <w:right w:w="57" w:type="dxa"/>
            </w:tcMar>
          </w:tcPr>
          <w:p w14:paraId="348798C5" w14:textId="77777777" w:rsidR="002E7F03" w:rsidRPr="00CC5DE3" w:rsidRDefault="002E7F03" w:rsidP="002E7F03">
            <w:pPr>
              <w:jc w:val="left"/>
              <w:rPr>
                <w:rFonts w:cs="Arial"/>
                <w:szCs w:val="18"/>
              </w:rPr>
            </w:pPr>
            <w:r w:rsidRPr="00CC5DE3">
              <w:t>micro/</w:t>
            </w:r>
            <w:proofErr w:type="spellStart"/>
            <w:r w:rsidRPr="00CC5DE3">
              <w:t>nHAP</w:t>
            </w:r>
            <w:proofErr w:type="spellEnd"/>
            <w:r w:rsidRPr="00CC5DE3">
              <w:t>, MCP, DCP, CAP, PHA-MCP, PHA-DCP</w:t>
            </w:r>
          </w:p>
        </w:tc>
        <w:tc>
          <w:tcPr>
            <w:tcW w:w="2716" w:type="dxa"/>
            <w:shd w:val="clear" w:color="auto" w:fill="FFFFFF"/>
            <w:tcMar>
              <w:top w:w="0" w:type="dxa"/>
              <w:left w:w="57" w:type="dxa"/>
              <w:bottom w:w="0" w:type="dxa"/>
              <w:right w:w="57" w:type="dxa"/>
            </w:tcMar>
          </w:tcPr>
          <w:p w14:paraId="50FC9D19" w14:textId="75DE2BA1" w:rsidR="002E7F03" w:rsidRPr="00CC5DE3" w:rsidRDefault="002E7F03" w:rsidP="002E7F03">
            <w:pPr>
              <w:pStyle w:val="CETBodytext"/>
              <w:ind w:right="-1"/>
              <w:jc w:val="left"/>
              <w:rPr>
                <w:rFonts w:cs="Arial"/>
                <w:szCs w:val="18"/>
              </w:rPr>
            </w:pPr>
            <w:r w:rsidRPr="00CC5DE3">
              <w:rPr>
                <w:rFonts w:cs="Arial"/>
                <w:szCs w:val="18"/>
              </w:rPr>
              <w:t>Greenhouse, pot experiment (low P soil)</w:t>
            </w:r>
          </w:p>
        </w:tc>
        <w:tc>
          <w:tcPr>
            <w:tcW w:w="1940" w:type="dxa"/>
            <w:shd w:val="clear" w:color="auto" w:fill="FFFFFF"/>
            <w:tcMar>
              <w:top w:w="0" w:type="dxa"/>
              <w:left w:w="57" w:type="dxa"/>
              <w:bottom w:w="0" w:type="dxa"/>
              <w:right w:w="57" w:type="dxa"/>
            </w:tcMar>
          </w:tcPr>
          <w:p w14:paraId="0623B8A1" w14:textId="77777777" w:rsidR="002E7F03" w:rsidRPr="00CC5DE3" w:rsidRDefault="002E7F03" w:rsidP="00E01510">
            <w:pPr>
              <w:pStyle w:val="CETBodytext"/>
              <w:ind w:right="-1"/>
              <w:rPr>
                <w:szCs w:val="18"/>
              </w:rPr>
            </w:pPr>
            <w:r w:rsidRPr="00CC5DE3">
              <w:rPr>
                <w:szCs w:val="18"/>
              </w:rPr>
              <w:t>Sigmon et al. (2023)</w:t>
            </w:r>
          </w:p>
        </w:tc>
      </w:tr>
    </w:tbl>
    <w:p w14:paraId="2894B85B" w14:textId="319F8683" w:rsidR="00314A54" w:rsidRPr="00CC5DE3" w:rsidRDefault="00314A54" w:rsidP="007E29B8">
      <w:pPr>
        <w:pStyle w:val="CETHeading1"/>
      </w:pPr>
      <w:r w:rsidRPr="00CC5DE3">
        <w:rPr>
          <w:shd w:val="clear" w:color="auto" w:fill="FFFFFF"/>
        </w:rPr>
        <w:t>PRIN 2022 CLEOPATRA project (2023-2025)</w:t>
      </w:r>
    </w:p>
    <w:p w14:paraId="5A63C706" w14:textId="5504B48D" w:rsidR="00EA5E4A" w:rsidRPr="00CC5DE3" w:rsidRDefault="00314A54" w:rsidP="00314A54">
      <w:pPr>
        <w:pStyle w:val="CETBodytext"/>
      </w:pPr>
      <w:r w:rsidRPr="00CC5DE3">
        <w:t xml:space="preserve">The PRIN 2022 CLEOPATRA project “Circular economy and sustainable agriculture: hydroxyapatite from biowastes as smart </w:t>
      </w:r>
      <w:proofErr w:type="spellStart"/>
      <w:r w:rsidRPr="00CC5DE3">
        <w:t>nanofertilizer</w:t>
      </w:r>
      <w:proofErr w:type="spellEnd"/>
      <w:r w:rsidRPr="00CC5DE3">
        <w:t xml:space="preserve">” </w:t>
      </w:r>
      <w:r w:rsidR="00C508AF" w:rsidRPr="00CC5DE3">
        <w:t>involves researchers from the University of Udine</w:t>
      </w:r>
      <w:r w:rsidR="00B42DD1" w:rsidRPr="00CC5DE3">
        <w:t xml:space="preserve"> (I)</w:t>
      </w:r>
      <w:r w:rsidR="00C508AF" w:rsidRPr="00CC5DE3">
        <w:t xml:space="preserve">, Free University of Bolzano </w:t>
      </w:r>
      <w:r w:rsidR="00B42DD1" w:rsidRPr="00CC5DE3">
        <w:t xml:space="preserve">(I) </w:t>
      </w:r>
      <w:r w:rsidR="00C508AF" w:rsidRPr="00CC5DE3">
        <w:t xml:space="preserve">and </w:t>
      </w:r>
      <w:r w:rsidR="00023C21" w:rsidRPr="00CC5DE3">
        <w:t xml:space="preserve">Institute of Nanotechnology </w:t>
      </w:r>
      <w:r w:rsidR="00C508AF" w:rsidRPr="00CC5DE3">
        <w:t>CNR (Lecce</w:t>
      </w:r>
      <w:r w:rsidR="00B42DD1" w:rsidRPr="00CC5DE3">
        <w:t>, I</w:t>
      </w:r>
      <w:r w:rsidR="00C508AF" w:rsidRPr="00CC5DE3">
        <w:t xml:space="preserve">). The project, financed for </w:t>
      </w:r>
      <w:r w:rsidR="00EB122E">
        <w:t>the two years</w:t>
      </w:r>
      <w:r w:rsidR="00C508AF" w:rsidRPr="00CC5DE3">
        <w:t xml:space="preserve"> 2023-2025</w:t>
      </w:r>
      <w:r w:rsidR="00023C21" w:rsidRPr="00CC5DE3">
        <w:t xml:space="preserve"> by </w:t>
      </w:r>
      <w:r w:rsidR="00EB122E">
        <w:t xml:space="preserve">the </w:t>
      </w:r>
      <w:r w:rsidR="00023C21" w:rsidRPr="00CC5DE3">
        <w:t>Italian Ministry of University (Next Generation EU funds)</w:t>
      </w:r>
      <w:r w:rsidR="00C508AF" w:rsidRPr="00CC5DE3">
        <w:t xml:space="preserve">, </w:t>
      </w:r>
      <w:r w:rsidRPr="00CC5DE3">
        <w:t xml:space="preserve">has set out to systematically investigate the potential of </w:t>
      </w:r>
      <w:proofErr w:type="spellStart"/>
      <w:r w:rsidRPr="00CC5DE3">
        <w:t>nHAP</w:t>
      </w:r>
      <w:proofErr w:type="spellEnd"/>
      <w:r w:rsidRPr="00CC5DE3">
        <w:t xml:space="preserve"> derived from biowastes and its resulting nanohybrids, </w:t>
      </w:r>
      <w:r w:rsidR="00EB122E">
        <w:t>to produce</w:t>
      </w:r>
      <w:r w:rsidRPr="00CC5DE3">
        <w:t xml:space="preserve"> effective and environmentally friendly </w:t>
      </w:r>
      <w:proofErr w:type="spellStart"/>
      <w:r w:rsidRPr="00CC5DE3">
        <w:t>nanofertilizers</w:t>
      </w:r>
      <w:proofErr w:type="spellEnd"/>
      <w:r w:rsidR="00EA5E4A" w:rsidRPr="00CC5DE3">
        <w:t xml:space="preserve"> (Fig. </w:t>
      </w:r>
      <w:r w:rsidR="00023C21" w:rsidRPr="00CC5DE3">
        <w:t>2</w:t>
      </w:r>
      <w:r w:rsidR="00EA5E4A" w:rsidRPr="00CC5DE3">
        <w:t>)</w:t>
      </w:r>
      <w:r w:rsidRPr="00CC5DE3">
        <w:t>.</w:t>
      </w:r>
    </w:p>
    <w:p w14:paraId="6C64914C" w14:textId="77777777" w:rsidR="009A177B" w:rsidRPr="00CC5DE3" w:rsidRDefault="009A177B" w:rsidP="00314A54">
      <w:pPr>
        <w:pStyle w:val="CETBodytext"/>
      </w:pPr>
    </w:p>
    <w:p w14:paraId="22C105AB" w14:textId="0928E76E" w:rsidR="00EA5E4A" w:rsidRPr="00CC5DE3" w:rsidRDefault="00023C21" w:rsidP="00314A54">
      <w:pPr>
        <w:pStyle w:val="CETBodytext"/>
      </w:pPr>
      <w:r w:rsidRPr="00CC5DE3">
        <w:rPr>
          <w:noProof/>
        </w:rPr>
        <w:drawing>
          <wp:inline distT="0" distB="0" distL="0" distR="0" wp14:anchorId="01431293" wp14:editId="5149C081">
            <wp:extent cx="5579745" cy="1924050"/>
            <wp:effectExtent l="19050" t="19050" r="20955" b="190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2"/>
                    <a:stretch>
                      <a:fillRect/>
                    </a:stretch>
                  </pic:blipFill>
                  <pic:spPr>
                    <a:xfrm>
                      <a:off x="0" y="0"/>
                      <a:ext cx="5579745" cy="1924050"/>
                    </a:xfrm>
                    <a:prstGeom prst="rect">
                      <a:avLst/>
                    </a:prstGeom>
                    <a:ln w="9525">
                      <a:solidFill>
                        <a:schemeClr val="tx1"/>
                      </a:solidFill>
                    </a:ln>
                  </pic:spPr>
                </pic:pic>
              </a:graphicData>
            </a:graphic>
          </wp:inline>
        </w:drawing>
      </w:r>
    </w:p>
    <w:p w14:paraId="213AE5DB" w14:textId="0E91CF33" w:rsidR="00023C21" w:rsidRPr="00CC5DE3" w:rsidRDefault="00023C21" w:rsidP="00023C21">
      <w:r w:rsidRPr="00CC5DE3">
        <w:rPr>
          <w:rStyle w:val="CETCaptionCarattere"/>
          <w:lang w:val="en-US"/>
        </w:rPr>
        <w:t xml:space="preserve">Figure 2: Logo of the project PRIN 2022 Cleopatra financed by </w:t>
      </w:r>
      <w:r w:rsidR="006B7512">
        <w:rPr>
          <w:rStyle w:val="CETCaptionCarattere"/>
          <w:lang w:val="en-US"/>
        </w:rPr>
        <w:t xml:space="preserve">the </w:t>
      </w:r>
      <w:r w:rsidRPr="00CC5DE3">
        <w:rPr>
          <w:rStyle w:val="CETCaptionCarattere"/>
          <w:lang w:val="en-US"/>
        </w:rPr>
        <w:t>Italian Ministry of University (Next Generation EU funds).</w:t>
      </w:r>
    </w:p>
    <w:p w14:paraId="3E954DAE" w14:textId="77777777" w:rsidR="00EA5E4A" w:rsidRPr="00CC5DE3" w:rsidRDefault="00EA5E4A" w:rsidP="00314A54">
      <w:pPr>
        <w:pStyle w:val="CETBodytext"/>
      </w:pPr>
    </w:p>
    <w:p w14:paraId="678A5C15" w14:textId="2D762404" w:rsidR="00BD347A" w:rsidRPr="00CC5DE3" w:rsidRDefault="00314A54" w:rsidP="00314A54">
      <w:pPr>
        <w:pStyle w:val="CETBodytext"/>
      </w:pPr>
      <w:r w:rsidRPr="00CC5DE3">
        <w:t xml:space="preserve">Recent studies have shown that </w:t>
      </w:r>
      <w:proofErr w:type="spellStart"/>
      <w:r w:rsidRPr="00CC5DE3">
        <w:t>nHAP</w:t>
      </w:r>
      <w:proofErr w:type="spellEnd"/>
      <w:r w:rsidRPr="00CC5DE3">
        <w:t xml:space="preserve"> – alone or combined with other elements (such as N and micronutrients) or molecules – can improve plant nutrition, protection, and yield quality when compared to traditional fertilizers. However, they produced conflicting results and positive outcomes lack mechanistic evidence. Furthermore, they have been carried out using synthetic apatite. This will be the first comprehensive investigation carried out using a nanohybrid of biological origin from circular economy chains as </w:t>
      </w:r>
      <w:r w:rsidR="006B7512">
        <w:t xml:space="preserve">an </w:t>
      </w:r>
      <w:r w:rsidRPr="00CC5DE3">
        <w:t xml:space="preserve">innovative fertilizer. CLEOPATRA includes activities in different phases studying both the preparation and functionalization of </w:t>
      </w:r>
      <w:proofErr w:type="spellStart"/>
      <w:r w:rsidRPr="00CC5DE3">
        <w:t>nHAP</w:t>
      </w:r>
      <w:proofErr w:type="spellEnd"/>
      <w:r w:rsidRPr="00CC5DE3">
        <w:t xml:space="preserve"> and its effects on maize growth (model species). More specifically, the extraction of </w:t>
      </w:r>
      <w:proofErr w:type="spellStart"/>
      <w:r w:rsidRPr="00CC5DE3">
        <w:t>nHAP</w:t>
      </w:r>
      <w:proofErr w:type="spellEnd"/>
      <w:r w:rsidRPr="00CC5DE3">
        <w:t xml:space="preserve"> from bones of various animals will be studied, together with their functionalization </w:t>
      </w:r>
      <w:r w:rsidR="006B7512">
        <w:t xml:space="preserve">of </w:t>
      </w:r>
      <w:r w:rsidRPr="00CC5DE3">
        <w:t xml:space="preserve">PSB and urea. Different approaches for applying </w:t>
      </w:r>
      <w:proofErr w:type="spellStart"/>
      <w:r w:rsidRPr="00CC5DE3">
        <w:t>nHAP</w:t>
      </w:r>
      <w:proofErr w:type="spellEnd"/>
      <w:r w:rsidRPr="00CC5DE3">
        <w:t xml:space="preserve"> to plants, as well as its effectiveness in terms of NUE</w:t>
      </w:r>
      <w:r w:rsidR="00897815">
        <w:t>,</w:t>
      </w:r>
      <w:r w:rsidRPr="00CC5DE3">
        <w:t xml:space="preserve"> will be assessed with plant experiments carried out at </w:t>
      </w:r>
      <w:r w:rsidR="00897815">
        <w:t xml:space="preserve">the </w:t>
      </w:r>
      <w:r w:rsidRPr="00CC5DE3">
        <w:t>growth chamber and mesocosm scale.</w:t>
      </w:r>
    </w:p>
    <w:p w14:paraId="75436235" w14:textId="6022DF1A" w:rsidR="002D0A5E" w:rsidRPr="00CC5DE3" w:rsidRDefault="002D0A5E" w:rsidP="002D0A5E">
      <w:pPr>
        <w:pStyle w:val="CETHeading1"/>
      </w:pPr>
      <w:r w:rsidRPr="00CC5DE3">
        <w:lastRenderedPageBreak/>
        <w:t>Conclusions</w:t>
      </w:r>
    </w:p>
    <w:p w14:paraId="5A17E530" w14:textId="77777777" w:rsidR="00B03035" w:rsidRPr="00CC5DE3" w:rsidRDefault="00B03035" w:rsidP="00B03035">
      <w:pPr>
        <w:pStyle w:val="CETBodytext"/>
      </w:pPr>
      <w:r w:rsidRPr="00CC5DE3">
        <w:t>Recent developments in nanotechnologies for agriculture require further investigation to understand their implications. However, there is a consensus regarding the vast potential of nano-agrochemicals. The development of advanced delivery systems for fertilizers and plant protection products alone offers enormous opportunities for improving the efficiency of these production factors. Implementing nano-enabled agriculture in the broader scenario of precision agriculture could lead to the next agricultural revolution.</w:t>
      </w:r>
    </w:p>
    <w:p w14:paraId="431712CB" w14:textId="72703483" w:rsidR="00D17ED1" w:rsidRDefault="00B03035" w:rsidP="00B03035">
      <w:pPr>
        <w:pStyle w:val="CETBodytext"/>
      </w:pPr>
      <w:r w:rsidRPr="00CC5DE3">
        <w:t>However, these prospects can only be achieved after intense research</w:t>
      </w:r>
      <w:r w:rsidR="004E1759">
        <w:t xml:space="preserve"> and</w:t>
      </w:r>
      <w:r w:rsidRPr="00CC5DE3">
        <w:t xml:space="preserve"> experimentation</w:t>
      </w:r>
      <w:r w:rsidR="004E1759">
        <w:t xml:space="preserve">. </w:t>
      </w:r>
      <w:r w:rsidR="004E1759" w:rsidRPr="004E1759">
        <w:t xml:space="preserve">The PRIN 2022 CLEOPATRA project </w:t>
      </w:r>
      <w:r w:rsidR="00D01880">
        <w:t>aims to unlock</w:t>
      </w:r>
      <w:r w:rsidR="00E122D8">
        <w:t xml:space="preserve"> s</w:t>
      </w:r>
      <w:r w:rsidR="009D4FD4">
        <w:t xml:space="preserve">ome </w:t>
      </w:r>
      <w:r w:rsidR="001F1C83">
        <w:t xml:space="preserve">pieces of knowledge </w:t>
      </w:r>
      <w:r w:rsidR="00F56372">
        <w:t>toward</w:t>
      </w:r>
      <w:r w:rsidR="004E1759" w:rsidRPr="004E1759">
        <w:t xml:space="preserve"> the full potential</w:t>
      </w:r>
      <w:r w:rsidR="001F1C83">
        <w:t>ity</w:t>
      </w:r>
      <w:r w:rsidR="004E1759" w:rsidRPr="004E1759">
        <w:t xml:space="preserve"> of </w:t>
      </w:r>
      <w:proofErr w:type="spellStart"/>
      <w:r w:rsidR="004E1759" w:rsidRPr="004E1759">
        <w:t>nHAP</w:t>
      </w:r>
      <w:proofErr w:type="spellEnd"/>
      <w:r w:rsidR="004E1759" w:rsidRPr="004E1759">
        <w:t xml:space="preserve"> derived from biowastes as a sustainable and effective </w:t>
      </w:r>
      <w:proofErr w:type="spellStart"/>
      <w:r w:rsidR="004E1759" w:rsidRPr="004E1759">
        <w:t>nanofertilizer</w:t>
      </w:r>
      <w:proofErr w:type="spellEnd"/>
      <w:r w:rsidR="004E1759" w:rsidRPr="004E1759">
        <w:t xml:space="preserve">. </w:t>
      </w:r>
    </w:p>
    <w:p w14:paraId="7A6D21E8" w14:textId="7ED52CE2" w:rsidR="00B03035" w:rsidRPr="00CC5DE3" w:rsidRDefault="007B5583" w:rsidP="00B03035">
      <w:pPr>
        <w:pStyle w:val="CETBodytext"/>
      </w:pPr>
      <w:r w:rsidRPr="007B5583">
        <w:t xml:space="preserve">In conclusion, while challenges and uncertainties remain, the prospects offered by nano-enabled agriculture are undeniable. With continued research, innovation, and regulatory oversight, the realization of a more efficient, sustainable, and resilient agricultural system is within reach. </w:t>
      </w:r>
      <w:r w:rsidR="006A634A">
        <w:t>Stakeholders across academia, industry, and government must collaborate</w:t>
      </w:r>
      <w:r w:rsidRPr="007B5583">
        <w:t xml:space="preserve"> to capitalize on the transformative opportunities presented by nanotechnologies in agriculture and ensure a future of food security </w:t>
      </w:r>
      <w:r w:rsidR="00FE13A7">
        <w:t>validated</w:t>
      </w:r>
      <w:r w:rsidR="00B03035" w:rsidRPr="00CC5DE3">
        <w:t xml:space="preserve"> by supervisory authorities such as the European Food Safety Authority and </w:t>
      </w:r>
      <w:r w:rsidR="00FE13A7">
        <w:t xml:space="preserve">the </w:t>
      </w:r>
      <w:r w:rsidR="00B03035" w:rsidRPr="00CC5DE3">
        <w:t>OECD.</w:t>
      </w:r>
    </w:p>
    <w:p w14:paraId="02DF748D" w14:textId="04A58D9C" w:rsidR="004012D1" w:rsidRPr="00CC5DE3" w:rsidRDefault="004012D1" w:rsidP="00C508AF">
      <w:pPr>
        <w:pStyle w:val="CETHeading1"/>
      </w:pPr>
      <w:r w:rsidRPr="00CC5DE3">
        <w:t>References</w:t>
      </w:r>
    </w:p>
    <w:p w14:paraId="574E2FF2" w14:textId="77777777" w:rsidR="00FB793D" w:rsidRPr="00CC5DE3" w:rsidRDefault="00FB793D" w:rsidP="004012D1">
      <w:pPr>
        <w:pStyle w:val="CETReferencetext"/>
        <w:rPr>
          <w:rFonts w:cs="Arial"/>
          <w:lang w:val="en-US"/>
        </w:rPr>
      </w:pPr>
      <w:bookmarkStart w:id="0" w:name="_Hlk153807018"/>
      <w:r w:rsidRPr="00CC5DE3">
        <w:rPr>
          <w:rFonts w:cs="Arial"/>
          <w:lang w:val="en-US"/>
        </w:rPr>
        <w:t xml:space="preserve">Ahmed M., Nigussie A., Addisu S., Belay B., Sato S. 2021. Valorization of animal bone into phosphorus biofertilizer: effects of animal species, thermal processing method, and production temperature on phosphorus availability. Soil Science and Plant Nutrition, 67, 4, 471-481. </w:t>
      </w:r>
      <w:hyperlink r:id="rId13" w:history="1">
        <w:r w:rsidRPr="00CC5DE3">
          <w:rPr>
            <w:rStyle w:val="Collegamentoipertestuale"/>
            <w:rFonts w:cs="Arial"/>
            <w:lang w:val="en-US"/>
          </w:rPr>
          <w:t>https://doi.org/10.1080/00380768.2021.1945403</w:t>
        </w:r>
      </w:hyperlink>
      <w:r w:rsidRPr="00CC5DE3">
        <w:rPr>
          <w:rFonts w:cs="Arial"/>
          <w:lang w:val="en-US"/>
        </w:rPr>
        <w:t>.</w:t>
      </w:r>
    </w:p>
    <w:p w14:paraId="6D923DB7" w14:textId="77777777" w:rsidR="00FB793D" w:rsidRPr="00CC5DE3" w:rsidRDefault="00FB793D" w:rsidP="004012D1">
      <w:pPr>
        <w:pStyle w:val="CETReferencetext"/>
        <w:rPr>
          <w:rFonts w:cs="Arial"/>
          <w:lang w:val="en-US"/>
        </w:rPr>
      </w:pPr>
      <w:proofErr w:type="spellStart"/>
      <w:r w:rsidRPr="00CC5DE3">
        <w:rPr>
          <w:rFonts w:cs="Arial"/>
          <w:lang w:val="en-US"/>
        </w:rPr>
        <w:t>Alewell</w:t>
      </w:r>
      <w:proofErr w:type="spellEnd"/>
      <w:r w:rsidRPr="00CC5DE3">
        <w:rPr>
          <w:rFonts w:cs="Arial"/>
          <w:lang w:val="en-US"/>
        </w:rPr>
        <w:t xml:space="preserve"> C., </w:t>
      </w:r>
      <w:proofErr w:type="spellStart"/>
      <w:r w:rsidRPr="00CC5DE3">
        <w:rPr>
          <w:rFonts w:cs="Arial"/>
          <w:lang w:val="en-US"/>
        </w:rPr>
        <w:t>Ringeval</w:t>
      </w:r>
      <w:proofErr w:type="spellEnd"/>
      <w:r w:rsidRPr="00CC5DE3">
        <w:rPr>
          <w:rFonts w:cs="Arial"/>
          <w:lang w:val="en-US"/>
        </w:rPr>
        <w:t xml:space="preserve"> B., Ballabio C., Panagos P., Borrelli P., 2020, Global phosphorus shortage will be aggravated by soil erosion. Nature Communication, 11, 4546. </w:t>
      </w:r>
      <w:hyperlink r:id="rId14" w:history="1">
        <w:r w:rsidRPr="00CC5DE3">
          <w:rPr>
            <w:rStyle w:val="Collegamentoipertestuale"/>
            <w:rFonts w:cs="Arial"/>
            <w:lang w:val="en-US"/>
          </w:rPr>
          <w:t>https://doi.org/10.1038/s41467-020-18326-7</w:t>
        </w:r>
      </w:hyperlink>
      <w:r w:rsidRPr="00CC5DE3">
        <w:rPr>
          <w:rFonts w:cs="Arial"/>
          <w:lang w:val="en-US"/>
        </w:rPr>
        <w:t>.</w:t>
      </w:r>
    </w:p>
    <w:p w14:paraId="1E56776A" w14:textId="77777777" w:rsidR="00FB793D" w:rsidRPr="00303D19" w:rsidRDefault="00FB793D" w:rsidP="004012D1">
      <w:pPr>
        <w:pStyle w:val="CETReferencetext"/>
        <w:rPr>
          <w:rFonts w:cs="Arial"/>
          <w:lang w:val="en-US"/>
        </w:rPr>
      </w:pPr>
      <w:r w:rsidRPr="00CC5DE3">
        <w:rPr>
          <w:shd w:val="clear" w:color="auto" w:fill="FFFFFF"/>
          <w:lang w:val="en-US"/>
        </w:rPr>
        <w:t xml:space="preserve">Approaching peak phosphorus. 2022. </w:t>
      </w:r>
      <w:r w:rsidRPr="00303D19">
        <w:rPr>
          <w:rFonts w:cs="Arial"/>
          <w:i/>
          <w:iCs/>
          <w:shd w:val="clear" w:color="auto" w:fill="FFFFFF"/>
          <w:lang w:val="en-US"/>
        </w:rPr>
        <w:t xml:space="preserve">Nature Plants. </w:t>
      </w:r>
      <w:r w:rsidRPr="00303D19">
        <w:rPr>
          <w:rFonts w:cs="Arial"/>
          <w:b/>
          <w:bCs/>
          <w:shd w:val="clear" w:color="auto" w:fill="FFFFFF"/>
          <w:lang w:val="en-US"/>
        </w:rPr>
        <w:t>8</w:t>
      </w:r>
      <w:r w:rsidRPr="00303D19">
        <w:rPr>
          <w:rFonts w:cs="Arial"/>
          <w:shd w:val="clear" w:color="auto" w:fill="FFFFFF"/>
          <w:lang w:val="en-US"/>
        </w:rPr>
        <w:t xml:space="preserve">, 979. </w:t>
      </w:r>
      <w:hyperlink r:id="rId15" w:history="1">
        <w:r w:rsidRPr="00303D19">
          <w:rPr>
            <w:rStyle w:val="Collegamentoipertestuale"/>
            <w:rFonts w:cs="Arial"/>
            <w:shd w:val="clear" w:color="auto" w:fill="FFFFFF"/>
            <w:lang w:val="en-US"/>
          </w:rPr>
          <w:t>https://doi.org/10.1038/s41477-022-01247-2</w:t>
        </w:r>
      </w:hyperlink>
      <w:r w:rsidRPr="00303D19">
        <w:rPr>
          <w:rFonts w:cs="Arial"/>
          <w:shd w:val="clear" w:color="auto" w:fill="FFFFFF"/>
          <w:lang w:val="en-US"/>
        </w:rPr>
        <w:t>.</w:t>
      </w:r>
    </w:p>
    <w:p w14:paraId="762FE091" w14:textId="77777777" w:rsidR="00FB793D" w:rsidRPr="00CC5DE3" w:rsidRDefault="00FB793D" w:rsidP="004012D1">
      <w:pPr>
        <w:pStyle w:val="CETReferencetext"/>
        <w:rPr>
          <w:rFonts w:cs="Arial"/>
          <w:lang w:val="en-US"/>
        </w:rPr>
      </w:pPr>
      <w:r w:rsidRPr="00CC5DE3">
        <w:rPr>
          <w:rFonts w:cs="Arial"/>
          <w:lang w:val="en-US"/>
        </w:rPr>
        <w:t>Behl T. Kaur I., Sehgal A., Singh S., Sharma N., Bhatia A., Al-</w:t>
      </w:r>
      <w:proofErr w:type="spellStart"/>
      <w:r w:rsidRPr="00CC5DE3">
        <w:rPr>
          <w:rFonts w:cs="Arial"/>
          <w:lang w:val="en-US"/>
        </w:rPr>
        <w:t>Harrasi</w:t>
      </w:r>
      <w:proofErr w:type="spellEnd"/>
      <w:r w:rsidRPr="00CC5DE3">
        <w:rPr>
          <w:rFonts w:cs="Arial"/>
          <w:lang w:val="en-US"/>
        </w:rPr>
        <w:t xml:space="preserve"> A., </w:t>
      </w:r>
      <w:proofErr w:type="spellStart"/>
      <w:r w:rsidRPr="00CC5DE3">
        <w:rPr>
          <w:rFonts w:cs="Arial"/>
          <w:lang w:val="en-US"/>
        </w:rPr>
        <w:t>Bungau</w:t>
      </w:r>
      <w:proofErr w:type="spellEnd"/>
      <w:r w:rsidRPr="00CC5DE3">
        <w:rPr>
          <w:rFonts w:cs="Arial"/>
          <w:lang w:val="en-US"/>
        </w:rPr>
        <w:t xml:space="preserve"> S. 2022. The dichotomy of nanotechnology as the cutting edge of agriculture: Nano-farming as an asset versus nanotoxicity. Chemosphere, 288, 132533. </w:t>
      </w:r>
      <w:hyperlink r:id="rId16" w:history="1">
        <w:r w:rsidRPr="00CC5DE3">
          <w:rPr>
            <w:rStyle w:val="Collegamentoipertestuale"/>
            <w:rFonts w:cs="Arial"/>
            <w:lang w:val="en-US"/>
          </w:rPr>
          <w:t>https://doi.org/10.1016/j.chemosphere.2021.132533</w:t>
        </w:r>
      </w:hyperlink>
      <w:r w:rsidRPr="00CC5DE3">
        <w:rPr>
          <w:rFonts w:cs="Arial"/>
          <w:lang w:val="en-US"/>
        </w:rPr>
        <w:t>.</w:t>
      </w:r>
    </w:p>
    <w:p w14:paraId="25C70A52" w14:textId="77777777" w:rsidR="00FB793D" w:rsidRPr="00CC5DE3" w:rsidRDefault="00FB793D" w:rsidP="00077784">
      <w:pPr>
        <w:pStyle w:val="CETReferencetext"/>
        <w:rPr>
          <w:lang w:val="en-US"/>
        </w:rPr>
      </w:pPr>
      <w:r w:rsidRPr="00CC5DE3">
        <w:rPr>
          <w:lang w:val="en-US"/>
        </w:rPr>
        <w:t xml:space="preserve">Carmona F.J., Dal Sasso G., Ramírez-Rodríguez G.B., </w:t>
      </w:r>
      <w:proofErr w:type="spellStart"/>
      <w:r w:rsidRPr="00CC5DE3">
        <w:rPr>
          <w:lang w:val="en-US"/>
        </w:rPr>
        <w:t>Pii</w:t>
      </w:r>
      <w:proofErr w:type="spellEnd"/>
      <w:r w:rsidRPr="00CC5DE3">
        <w:rPr>
          <w:lang w:val="en-US"/>
        </w:rPr>
        <w:t xml:space="preserve"> Y., Delgado-López J.M., </w:t>
      </w:r>
      <w:proofErr w:type="spellStart"/>
      <w:r w:rsidRPr="00CC5DE3">
        <w:rPr>
          <w:lang w:val="en-US"/>
        </w:rPr>
        <w:t>Guagliardi</w:t>
      </w:r>
      <w:proofErr w:type="spellEnd"/>
      <w:r w:rsidRPr="00CC5DE3">
        <w:rPr>
          <w:lang w:val="en-US"/>
        </w:rPr>
        <w:t xml:space="preserve"> A., Masciocchi N. 2021. Urea-functionalized amorphous calcium phosphate </w:t>
      </w:r>
      <w:proofErr w:type="spellStart"/>
      <w:r w:rsidRPr="00CC5DE3">
        <w:rPr>
          <w:lang w:val="en-US"/>
        </w:rPr>
        <w:t>nanofertilizers</w:t>
      </w:r>
      <w:proofErr w:type="spellEnd"/>
      <w:r w:rsidRPr="00CC5DE3">
        <w:rPr>
          <w:lang w:val="en-US"/>
        </w:rPr>
        <w:t xml:space="preserve">: optimizing the synthetic strategy towards environmental sustainability and manufacturing costs. Scientific Reports. 11, 3419. </w:t>
      </w:r>
      <w:hyperlink r:id="rId17" w:history="1">
        <w:r w:rsidRPr="00CC5DE3">
          <w:rPr>
            <w:rStyle w:val="Collegamentoipertestuale"/>
            <w:lang w:val="en-US"/>
          </w:rPr>
          <w:t>https://doi.org/10.1038/s41598-021-83048-9</w:t>
        </w:r>
      </w:hyperlink>
      <w:r w:rsidRPr="00CC5DE3">
        <w:rPr>
          <w:lang w:val="en-US"/>
        </w:rPr>
        <w:t>.</w:t>
      </w:r>
    </w:p>
    <w:p w14:paraId="5FE3B824" w14:textId="77777777" w:rsidR="00FB793D" w:rsidRPr="00CC5DE3" w:rsidRDefault="00FB793D" w:rsidP="00077784">
      <w:pPr>
        <w:pStyle w:val="CETReferencetext"/>
        <w:rPr>
          <w:lang w:val="en-US"/>
        </w:rPr>
      </w:pPr>
      <w:proofErr w:type="spellStart"/>
      <w:r w:rsidRPr="00CC5DE3">
        <w:rPr>
          <w:lang w:val="en-US"/>
        </w:rPr>
        <w:t>Dorozhkin</w:t>
      </w:r>
      <w:proofErr w:type="spellEnd"/>
      <w:r w:rsidRPr="00CC5DE3">
        <w:rPr>
          <w:lang w:val="en-US"/>
        </w:rPr>
        <w:t xml:space="preserve"> S.V., Epple M. 2002. Biological and medical significance of calcium phosphates. </w:t>
      </w:r>
      <w:proofErr w:type="spellStart"/>
      <w:r w:rsidRPr="00CC5DE3">
        <w:rPr>
          <w:lang w:val="en-US"/>
        </w:rPr>
        <w:t>Angewandte</w:t>
      </w:r>
      <w:proofErr w:type="spellEnd"/>
      <w:r w:rsidRPr="00CC5DE3">
        <w:rPr>
          <w:lang w:val="en-US"/>
        </w:rPr>
        <w:t xml:space="preserve"> </w:t>
      </w:r>
      <w:proofErr w:type="spellStart"/>
      <w:r w:rsidRPr="00CC5DE3">
        <w:rPr>
          <w:lang w:val="en-US"/>
        </w:rPr>
        <w:t>Chemie</w:t>
      </w:r>
      <w:proofErr w:type="spellEnd"/>
      <w:r w:rsidRPr="00CC5DE3">
        <w:rPr>
          <w:lang w:val="en-US"/>
        </w:rPr>
        <w:t xml:space="preserve"> International 41, 17, 3071-3296. </w:t>
      </w:r>
      <w:hyperlink r:id="rId18" w:history="1">
        <w:r w:rsidRPr="00CC5DE3">
          <w:rPr>
            <w:rStyle w:val="Collegamentoipertestuale"/>
            <w:lang w:val="en-US"/>
          </w:rPr>
          <w:t>http://doi.org/10.1002/1521-3773(20020902)41:17&lt;3130::AID-ANIE3130&gt;3.0.CO;2-1</w:t>
        </w:r>
      </w:hyperlink>
      <w:r w:rsidRPr="00CC5DE3">
        <w:rPr>
          <w:lang w:val="en-US"/>
        </w:rPr>
        <w:t>.</w:t>
      </w:r>
    </w:p>
    <w:p w14:paraId="3E1C1A70" w14:textId="28508891" w:rsidR="00FB793D" w:rsidRPr="00CC5DE3" w:rsidRDefault="00FB793D" w:rsidP="004012D1">
      <w:pPr>
        <w:pStyle w:val="CETReferencetext"/>
        <w:rPr>
          <w:lang w:val="en-US"/>
        </w:rPr>
      </w:pPr>
      <w:r w:rsidRPr="00CC5DE3">
        <w:rPr>
          <w:lang w:val="en-US"/>
        </w:rPr>
        <w:t>FAO. 2021. Emissions due to agriculture. Global, regional</w:t>
      </w:r>
      <w:r w:rsidR="00897815">
        <w:rPr>
          <w:lang w:val="en-US"/>
        </w:rPr>
        <w:t>,</w:t>
      </w:r>
      <w:r w:rsidRPr="00CC5DE3">
        <w:rPr>
          <w:lang w:val="en-US"/>
        </w:rPr>
        <w:t xml:space="preserve"> and country trends 2000–2018. https://www.fao.org/policysupport/tools-and-publications/resources-details/en/c/1382716</w:t>
      </w:r>
    </w:p>
    <w:p w14:paraId="572F20F7" w14:textId="77777777" w:rsidR="00FB793D" w:rsidRPr="00CC5DE3" w:rsidRDefault="00FB793D" w:rsidP="004012D1">
      <w:pPr>
        <w:pStyle w:val="CETReferencetext"/>
        <w:rPr>
          <w:lang w:val="en-US"/>
        </w:rPr>
      </w:pPr>
      <w:r w:rsidRPr="00CC5DE3">
        <w:rPr>
          <w:lang w:val="en-US"/>
        </w:rPr>
        <w:t xml:space="preserve">Fellet G., Pilotto L., Marchiol L, </w:t>
      </w:r>
      <w:proofErr w:type="spellStart"/>
      <w:r w:rsidRPr="00CC5DE3">
        <w:rPr>
          <w:lang w:val="en-US"/>
        </w:rPr>
        <w:t>Braidot</w:t>
      </w:r>
      <w:proofErr w:type="spellEnd"/>
      <w:r w:rsidRPr="00CC5DE3">
        <w:rPr>
          <w:lang w:val="en-US"/>
        </w:rPr>
        <w:t xml:space="preserve"> E. 2021. Tools for Nano-Enabled Agriculture: Fertilizers Based on Calcium Phosphate, Silicon, and Chitosan Nanostructures. Agronomy, 11, 1239. </w:t>
      </w:r>
      <w:hyperlink r:id="rId19" w:history="1">
        <w:r w:rsidRPr="00CC5DE3">
          <w:rPr>
            <w:rStyle w:val="Collegamentoipertestuale"/>
            <w:lang w:val="en-US"/>
          </w:rPr>
          <w:t>https://doi.org/10.3390/agronomy11061239</w:t>
        </w:r>
      </w:hyperlink>
      <w:r w:rsidRPr="00CC5DE3">
        <w:rPr>
          <w:lang w:val="en-US"/>
        </w:rPr>
        <w:t>.</w:t>
      </w:r>
    </w:p>
    <w:p w14:paraId="0154FFB9" w14:textId="77777777" w:rsidR="00FB793D" w:rsidRPr="00CC5DE3" w:rsidRDefault="00FB793D" w:rsidP="004012D1">
      <w:pPr>
        <w:pStyle w:val="CETReferencetext"/>
        <w:rPr>
          <w:lang w:val="en-US"/>
        </w:rPr>
      </w:pPr>
      <w:r w:rsidRPr="00CC5DE3">
        <w:rPr>
          <w:lang w:val="en-US"/>
        </w:rPr>
        <w:t xml:space="preserve">Gollin D., Worm H.C, Asger Mose W. 2021. Two Blades of Grass: The Impact of the Green Revolution. Journal of Political Economy, 129, 8, 2344–2384. </w:t>
      </w:r>
      <w:hyperlink r:id="rId20" w:history="1">
        <w:r w:rsidRPr="00CC5DE3">
          <w:rPr>
            <w:rStyle w:val="Collegamentoipertestuale"/>
            <w:lang w:val="en-US"/>
          </w:rPr>
          <w:t>https://doi.org/10.1086/714444</w:t>
        </w:r>
      </w:hyperlink>
      <w:r w:rsidRPr="00CC5DE3">
        <w:rPr>
          <w:rStyle w:val="Collegamentoipertestuale"/>
          <w:color w:val="auto"/>
          <w:u w:val="none"/>
          <w:lang w:val="en-US"/>
        </w:rPr>
        <w:t>.</w:t>
      </w:r>
    </w:p>
    <w:p w14:paraId="34E31BE6" w14:textId="77777777" w:rsidR="00FB793D" w:rsidRPr="00CC5DE3" w:rsidRDefault="00FB793D" w:rsidP="004012D1">
      <w:pPr>
        <w:pStyle w:val="CETReferencetext"/>
        <w:rPr>
          <w:rFonts w:cs="Arial"/>
          <w:lang w:val="en-US"/>
        </w:rPr>
      </w:pPr>
      <w:proofErr w:type="spellStart"/>
      <w:r w:rsidRPr="00CC5DE3">
        <w:rPr>
          <w:rFonts w:cs="Arial"/>
          <w:lang w:val="en-US"/>
        </w:rPr>
        <w:t>Hawkesford</w:t>
      </w:r>
      <w:proofErr w:type="spellEnd"/>
      <w:r w:rsidRPr="00CC5DE3">
        <w:rPr>
          <w:rFonts w:cs="Arial"/>
          <w:lang w:val="en-US"/>
        </w:rPr>
        <w:t xml:space="preserve"> MJ, Kopriva S, De Kok LJ. (Eds). 2014. Nutrient Use Efficiency in Plants. Concepts and Approaches. Springer Cham. </w:t>
      </w:r>
      <w:hyperlink r:id="rId21" w:history="1">
        <w:r w:rsidRPr="00CC5DE3">
          <w:rPr>
            <w:rStyle w:val="Collegamentoipertestuale"/>
            <w:rFonts w:cs="Arial"/>
            <w:lang w:val="en-US"/>
          </w:rPr>
          <w:t>https://doi.org/10.1007/978-3-319-10635-9</w:t>
        </w:r>
      </w:hyperlink>
      <w:r w:rsidRPr="00CC5DE3">
        <w:rPr>
          <w:rFonts w:cs="Arial"/>
          <w:lang w:val="en-US"/>
        </w:rPr>
        <w:t>.</w:t>
      </w:r>
    </w:p>
    <w:p w14:paraId="07B2092C" w14:textId="77777777" w:rsidR="00FB793D" w:rsidRPr="00CC5DE3" w:rsidRDefault="00FB793D" w:rsidP="004012D1">
      <w:pPr>
        <w:pStyle w:val="CETReferencetext"/>
        <w:rPr>
          <w:lang w:val="en-US"/>
        </w:rPr>
      </w:pPr>
      <w:r w:rsidRPr="00CC5DE3">
        <w:rPr>
          <w:lang w:val="en-US"/>
        </w:rPr>
        <w:t xml:space="preserve">Kah M., </w:t>
      </w:r>
      <w:proofErr w:type="spellStart"/>
      <w:r w:rsidRPr="00CC5DE3">
        <w:rPr>
          <w:lang w:val="en-US"/>
        </w:rPr>
        <w:t>Tufenkji</w:t>
      </w:r>
      <w:proofErr w:type="spellEnd"/>
      <w:r w:rsidRPr="00CC5DE3">
        <w:rPr>
          <w:lang w:val="en-US"/>
        </w:rPr>
        <w:t xml:space="preserve"> N., White JC. 2019. Nano-enabled strategies to enhance crop nutrition and protection. Nat. </w:t>
      </w:r>
      <w:proofErr w:type="spellStart"/>
      <w:r w:rsidRPr="00CC5DE3">
        <w:rPr>
          <w:lang w:val="en-US"/>
        </w:rPr>
        <w:t>Nanotechnol</w:t>
      </w:r>
      <w:proofErr w:type="spellEnd"/>
      <w:r w:rsidRPr="00CC5DE3">
        <w:rPr>
          <w:lang w:val="en-US"/>
        </w:rPr>
        <w:t xml:space="preserve">. 14, 532-540. </w:t>
      </w:r>
      <w:hyperlink r:id="rId22" w:history="1">
        <w:r w:rsidRPr="00CC5DE3">
          <w:rPr>
            <w:rStyle w:val="Collegamentoipertestuale"/>
            <w:lang w:val="en-US"/>
          </w:rPr>
          <w:t>https://doi.org/10.1038/s41565-019-0439-5</w:t>
        </w:r>
      </w:hyperlink>
      <w:r w:rsidRPr="00CC5DE3">
        <w:rPr>
          <w:lang w:val="en-US"/>
        </w:rPr>
        <w:t>.</w:t>
      </w:r>
    </w:p>
    <w:p w14:paraId="541687F4" w14:textId="77777777" w:rsidR="00FB793D" w:rsidRPr="00CC5DE3" w:rsidRDefault="00FB793D" w:rsidP="004012D1">
      <w:pPr>
        <w:pStyle w:val="CETReferencetext"/>
        <w:rPr>
          <w:rFonts w:cs="Arial"/>
          <w:lang w:val="en-US"/>
        </w:rPr>
      </w:pPr>
      <w:r w:rsidRPr="00CC5DE3">
        <w:rPr>
          <w:rFonts w:cs="Arial"/>
          <w:lang w:val="en-US"/>
        </w:rPr>
        <w:t xml:space="preserve">Kanter D.R., Bartolini F., Kugelberg S., Leip A., </w:t>
      </w:r>
      <w:proofErr w:type="spellStart"/>
      <w:r w:rsidRPr="00CC5DE3">
        <w:rPr>
          <w:rFonts w:cs="Arial"/>
          <w:lang w:val="en-US"/>
        </w:rPr>
        <w:t>Oenema</w:t>
      </w:r>
      <w:proofErr w:type="spellEnd"/>
      <w:r w:rsidRPr="00CC5DE3">
        <w:rPr>
          <w:rFonts w:cs="Arial"/>
          <w:lang w:val="en-US"/>
        </w:rPr>
        <w:t xml:space="preserve"> O., </w:t>
      </w:r>
      <w:proofErr w:type="spellStart"/>
      <w:r w:rsidRPr="00CC5DE3">
        <w:rPr>
          <w:rFonts w:cs="Arial"/>
          <w:lang w:val="en-US"/>
        </w:rPr>
        <w:t>Uwizeye</w:t>
      </w:r>
      <w:proofErr w:type="spellEnd"/>
      <w:r w:rsidRPr="00CC5DE3">
        <w:rPr>
          <w:rFonts w:cs="Arial"/>
          <w:lang w:val="en-US"/>
        </w:rPr>
        <w:t xml:space="preserve"> A. 2020, Nitrogen pollution policy beyond the farm. Nature Food, 1, 27-32. </w:t>
      </w:r>
      <w:hyperlink r:id="rId23" w:history="1">
        <w:r w:rsidRPr="00CC5DE3">
          <w:rPr>
            <w:rStyle w:val="Collegamentoipertestuale"/>
            <w:rFonts w:cs="Arial"/>
            <w:lang w:val="en-US"/>
          </w:rPr>
          <w:t>https://doi.org/10.1038/s43016-019-0001-5</w:t>
        </w:r>
      </w:hyperlink>
      <w:r w:rsidRPr="00CC5DE3">
        <w:rPr>
          <w:rFonts w:cs="Arial"/>
          <w:lang w:val="en-US"/>
        </w:rPr>
        <w:t>.</w:t>
      </w:r>
    </w:p>
    <w:p w14:paraId="7F6A8F37" w14:textId="2AD5CF16" w:rsidR="00FB793D" w:rsidRPr="00CC5DE3" w:rsidRDefault="00FB793D" w:rsidP="00FB793D">
      <w:pPr>
        <w:pStyle w:val="CETReferencetext"/>
        <w:rPr>
          <w:lang w:val="en-US"/>
        </w:rPr>
      </w:pPr>
      <w:r w:rsidRPr="00CC5DE3">
        <w:rPr>
          <w:lang w:val="en-US"/>
        </w:rPr>
        <w:t xml:space="preserve">Ma C., Li Q., Jia W., Shang H., Zhao J., Hao Y., Li C., Tomko M., </w:t>
      </w:r>
      <w:proofErr w:type="spellStart"/>
      <w:r w:rsidRPr="00CC5DE3">
        <w:rPr>
          <w:lang w:val="en-US"/>
        </w:rPr>
        <w:t>Zuverza</w:t>
      </w:r>
      <w:proofErr w:type="spellEnd"/>
      <w:r w:rsidRPr="00CC5DE3">
        <w:rPr>
          <w:lang w:val="en-US"/>
        </w:rPr>
        <w:t xml:space="preserve">-Mena N., Elmer W., White J.C., Xing B. 2021. Role of nanoscale hydroxyapatite in disease suppression of Fusarium-infected tomato. Environmental Science and Technology, 55, 20, 13465-13476. </w:t>
      </w:r>
      <w:hyperlink r:id="rId24" w:history="1">
        <w:r w:rsidRPr="00CC5DE3">
          <w:rPr>
            <w:rStyle w:val="Collegamentoipertestuale"/>
            <w:lang w:val="en-US"/>
          </w:rPr>
          <w:t>https://doi.org/10.1021/acs.est.1c00901</w:t>
        </w:r>
      </w:hyperlink>
      <w:r w:rsidRPr="00CC5DE3">
        <w:rPr>
          <w:lang w:val="en-US"/>
        </w:rPr>
        <w:t>.</w:t>
      </w:r>
    </w:p>
    <w:p w14:paraId="360524F8" w14:textId="77777777" w:rsidR="00FB793D" w:rsidRPr="00CC5DE3" w:rsidRDefault="00FB793D" w:rsidP="004012D1">
      <w:pPr>
        <w:pStyle w:val="CETReferencetext"/>
        <w:rPr>
          <w:lang w:val="en-US"/>
        </w:rPr>
      </w:pPr>
      <w:r w:rsidRPr="00CC5DE3">
        <w:rPr>
          <w:lang w:val="en-US"/>
        </w:rPr>
        <w:t xml:space="preserve">Martinon T.L.M. 2023. The urgent recognition of phosphate resource scarcity and pollution. RSC Sustain. 1, 1594-1598. </w:t>
      </w:r>
      <w:hyperlink r:id="rId25" w:history="1">
        <w:r w:rsidRPr="00CC5DE3">
          <w:rPr>
            <w:rStyle w:val="Collegamentoipertestuale"/>
            <w:lang w:val="en-US"/>
          </w:rPr>
          <w:t>https://doi.org/10.1039/D3SU90040A</w:t>
        </w:r>
      </w:hyperlink>
      <w:r w:rsidRPr="00CC5DE3">
        <w:rPr>
          <w:lang w:val="en-US"/>
        </w:rPr>
        <w:t>.</w:t>
      </w:r>
    </w:p>
    <w:p w14:paraId="7E681ED3" w14:textId="77777777" w:rsidR="00FB793D" w:rsidRPr="00CC5DE3" w:rsidRDefault="00FB793D" w:rsidP="004012D1">
      <w:pPr>
        <w:pStyle w:val="CETReferencetext"/>
        <w:rPr>
          <w:lang w:val="en-US"/>
        </w:rPr>
      </w:pPr>
      <w:r w:rsidRPr="00CC5DE3">
        <w:rPr>
          <w:lang w:val="en-US"/>
        </w:rPr>
        <w:t xml:space="preserve">Maschmeyer T., Luque R., Maurizio Selva M. 2020. Upgrading of marine (fish and crustaceans) biowaste for high added-value molecules and bio(nano)-materials. Chemical Society Review. 49, 4527. </w:t>
      </w:r>
      <w:hyperlink r:id="rId26" w:history="1">
        <w:r w:rsidRPr="00CC5DE3">
          <w:rPr>
            <w:rStyle w:val="Collegamentoipertestuale"/>
            <w:lang w:val="en-US"/>
          </w:rPr>
          <w:t>https://doi.org/10.1039/C9CS00653B</w:t>
        </w:r>
      </w:hyperlink>
      <w:r w:rsidRPr="00CC5DE3">
        <w:rPr>
          <w:lang w:val="en-US"/>
        </w:rPr>
        <w:t>.</w:t>
      </w:r>
    </w:p>
    <w:p w14:paraId="7B737198" w14:textId="77777777" w:rsidR="00FB793D" w:rsidRPr="00CC5DE3" w:rsidRDefault="00FB793D" w:rsidP="004012D1">
      <w:pPr>
        <w:pStyle w:val="CETReferencetext"/>
        <w:rPr>
          <w:lang w:val="en-US"/>
        </w:rPr>
      </w:pPr>
      <w:r w:rsidRPr="00CC5DE3">
        <w:rPr>
          <w:lang w:val="en-US"/>
        </w:rPr>
        <w:t xml:space="preserve">Mohd </w:t>
      </w:r>
      <w:proofErr w:type="spellStart"/>
      <w:r w:rsidRPr="00CC5DE3">
        <w:rPr>
          <w:lang w:val="en-US"/>
        </w:rPr>
        <w:t>Pu'ad</w:t>
      </w:r>
      <w:proofErr w:type="spellEnd"/>
      <w:r w:rsidRPr="00CC5DE3">
        <w:rPr>
          <w:lang w:val="en-US"/>
        </w:rPr>
        <w:t xml:space="preserve"> N.A.S., Koshy P., Abdullah H.Z., Idris M.I., Lee T.C. 2019. Syntheses of hydroxyapatite from natural sources. </w:t>
      </w:r>
      <w:proofErr w:type="spellStart"/>
      <w:r w:rsidRPr="00CC5DE3">
        <w:rPr>
          <w:lang w:val="en-US"/>
        </w:rPr>
        <w:t>Heliyon</w:t>
      </w:r>
      <w:proofErr w:type="spellEnd"/>
      <w:r w:rsidRPr="00CC5DE3">
        <w:rPr>
          <w:lang w:val="en-US"/>
        </w:rPr>
        <w:t xml:space="preserve">, 5, 5, e01588. </w:t>
      </w:r>
      <w:hyperlink r:id="rId27" w:history="1">
        <w:r w:rsidRPr="00CC5DE3">
          <w:rPr>
            <w:rStyle w:val="Collegamentoipertestuale"/>
            <w:lang w:val="en-US"/>
          </w:rPr>
          <w:t>https://doi.org/10.1016/j.heliyon.2019.e01588</w:t>
        </w:r>
      </w:hyperlink>
      <w:r w:rsidRPr="00CC5DE3">
        <w:rPr>
          <w:lang w:val="en-US"/>
        </w:rPr>
        <w:t xml:space="preserve">. </w:t>
      </w:r>
    </w:p>
    <w:p w14:paraId="16D9D89F" w14:textId="77777777" w:rsidR="00FB793D" w:rsidRPr="00CC5DE3" w:rsidRDefault="00FB793D" w:rsidP="004012D1">
      <w:pPr>
        <w:pStyle w:val="CETReferencetext"/>
        <w:rPr>
          <w:lang w:val="en-US"/>
        </w:rPr>
      </w:pPr>
      <w:r w:rsidRPr="00CC5DE3">
        <w:rPr>
          <w:lang w:val="en-US"/>
        </w:rPr>
        <w:lastRenderedPageBreak/>
        <w:t xml:space="preserve">Monroy Miguel et al. 2020. Screening bacterial phosphate solubilization with bulk-tricalcium phosphate and hydroxyapatite nanoparticles. Antonie van Leeuwenhoek (2020) 113:1033–1047. </w:t>
      </w:r>
      <w:hyperlink r:id="rId28" w:history="1">
        <w:r w:rsidRPr="00CC5DE3">
          <w:rPr>
            <w:rStyle w:val="Collegamentoipertestuale"/>
            <w:lang w:val="en-US"/>
          </w:rPr>
          <w:t>https://doi.org/10.1007/s10482-020-01409-2</w:t>
        </w:r>
      </w:hyperlink>
      <w:r w:rsidRPr="00CC5DE3">
        <w:rPr>
          <w:lang w:val="en-US"/>
        </w:rPr>
        <w:t>.</w:t>
      </w:r>
    </w:p>
    <w:p w14:paraId="3E57FDBD" w14:textId="77777777" w:rsidR="00FB793D" w:rsidRPr="00CC5DE3" w:rsidRDefault="00FB793D" w:rsidP="004012D1">
      <w:pPr>
        <w:pStyle w:val="CETReferencetext"/>
        <w:rPr>
          <w:lang w:val="en-US"/>
        </w:rPr>
      </w:pPr>
      <w:r w:rsidRPr="00CC5DE3">
        <w:rPr>
          <w:lang w:val="en-US"/>
        </w:rPr>
        <w:t xml:space="preserve">Mullen A. 2019. Expectations from nano in agriculture. Nature Nanotechnology. 14, 515-516. </w:t>
      </w:r>
      <w:hyperlink r:id="rId29" w:history="1">
        <w:r w:rsidRPr="00CC5DE3">
          <w:rPr>
            <w:rStyle w:val="Collegamentoipertestuale"/>
            <w:lang w:val="en-US"/>
          </w:rPr>
          <w:t>https://doi.org/10.1038/s41565-019-0471-5</w:t>
        </w:r>
      </w:hyperlink>
      <w:r w:rsidRPr="00CC5DE3">
        <w:rPr>
          <w:lang w:val="en-US"/>
        </w:rPr>
        <w:t>.</w:t>
      </w:r>
    </w:p>
    <w:p w14:paraId="50AE1B6B" w14:textId="77777777" w:rsidR="00FB793D" w:rsidRPr="00CC5DE3" w:rsidRDefault="00FB793D" w:rsidP="004012D1">
      <w:pPr>
        <w:pStyle w:val="CETReferencetext"/>
        <w:rPr>
          <w:lang w:val="en-US"/>
        </w:rPr>
      </w:pPr>
      <w:r w:rsidRPr="00CC5DE3">
        <w:rPr>
          <w:lang w:val="en-US"/>
        </w:rPr>
        <w:t xml:space="preserve">OECD/FAO. 2020. OECD-FAO Agricultural Outlook 2022029. Paris/FAO, Rome, </w:t>
      </w:r>
      <w:hyperlink r:id="rId30" w:history="1">
        <w:r w:rsidRPr="00CC5DE3">
          <w:rPr>
            <w:rStyle w:val="Collegamentoipertestuale"/>
            <w:lang w:val="en-US"/>
          </w:rPr>
          <w:t>https://org.doi:10.1787/1112c23b-en</w:t>
        </w:r>
      </w:hyperlink>
      <w:r w:rsidRPr="00CC5DE3">
        <w:rPr>
          <w:lang w:val="en-US"/>
        </w:rPr>
        <w:t>.</w:t>
      </w:r>
    </w:p>
    <w:p w14:paraId="425EB6F5" w14:textId="70505A21" w:rsidR="00FB793D" w:rsidRPr="00CC5DE3" w:rsidRDefault="00FB793D" w:rsidP="00FB793D">
      <w:pPr>
        <w:pStyle w:val="CETReferencetext"/>
        <w:rPr>
          <w:lang w:val="en-US"/>
        </w:rPr>
      </w:pPr>
      <w:r w:rsidRPr="00CC5DE3">
        <w:rPr>
          <w:lang w:val="en-US"/>
        </w:rPr>
        <w:t xml:space="preserve">Priyam A., Yadav N., Reddy P.M., Afonso L.O.B., Schultz A.G., Singh P.P. 2022a. Fertilizing benefits of biogenic phosphorous </w:t>
      </w:r>
      <w:proofErr w:type="spellStart"/>
      <w:r w:rsidRPr="00CC5DE3">
        <w:rPr>
          <w:lang w:val="en-US"/>
        </w:rPr>
        <w:t>nanonutrients</w:t>
      </w:r>
      <w:proofErr w:type="spellEnd"/>
      <w:r w:rsidRPr="00CC5DE3">
        <w:rPr>
          <w:lang w:val="en-US"/>
        </w:rPr>
        <w:t xml:space="preserve"> on </w:t>
      </w:r>
      <w:r w:rsidRPr="00CC5DE3">
        <w:rPr>
          <w:i/>
          <w:iCs/>
          <w:lang w:val="en-US"/>
        </w:rPr>
        <w:t xml:space="preserve">Solanum </w:t>
      </w:r>
      <w:proofErr w:type="spellStart"/>
      <w:r w:rsidRPr="00CC5DE3">
        <w:rPr>
          <w:i/>
          <w:iCs/>
          <w:lang w:val="en-US"/>
        </w:rPr>
        <w:t>lycopersicum</w:t>
      </w:r>
      <w:proofErr w:type="spellEnd"/>
      <w:r w:rsidRPr="00CC5DE3">
        <w:rPr>
          <w:lang w:val="en-US"/>
        </w:rPr>
        <w:t xml:space="preserve"> in soils with variable </w:t>
      </w:r>
      <w:proofErr w:type="spellStart"/>
      <w:r w:rsidRPr="00CC5DE3">
        <w:rPr>
          <w:lang w:val="en-US"/>
        </w:rPr>
        <w:t>pH.</w:t>
      </w:r>
      <w:proofErr w:type="spellEnd"/>
      <w:r w:rsidRPr="00CC5DE3">
        <w:rPr>
          <w:lang w:val="en-US"/>
        </w:rPr>
        <w:t xml:space="preserve"> </w:t>
      </w:r>
      <w:proofErr w:type="spellStart"/>
      <w:r w:rsidRPr="00CC5DE3">
        <w:rPr>
          <w:lang w:val="en-US"/>
        </w:rPr>
        <w:t>Heliyon</w:t>
      </w:r>
      <w:proofErr w:type="spellEnd"/>
      <w:r w:rsidRPr="00CC5DE3">
        <w:rPr>
          <w:lang w:val="en-US"/>
        </w:rPr>
        <w:t xml:space="preserve">, 8, 3, e09144. </w:t>
      </w:r>
      <w:hyperlink r:id="rId31" w:history="1">
        <w:r w:rsidRPr="00CC5DE3">
          <w:rPr>
            <w:rStyle w:val="Collegamentoipertestuale"/>
            <w:lang w:val="en-US"/>
          </w:rPr>
          <w:t>http://doi.org/10.1016/j.heliyon.2022.e09144</w:t>
        </w:r>
      </w:hyperlink>
      <w:r w:rsidRPr="00CC5DE3">
        <w:rPr>
          <w:lang w:val="en-US"/>
        </w:rPr>
        <w:t>.</w:t>
      </w:r>
    </w:p>
    <w:p w14:paraId="06B2C3C8" w14:textId="03B8B52A" w:rsidR="00BA3678" w:rsidRPr="00CC5DE3" w:rsidRDefault="00FB793D" w:rsidP="00FB793D">
      <w:pPr>
        <w:pStyle w:val="CETReferencetext"/>
        <w:rPr>
          <w:lang w:val="en-US"/>
        </w:rPr>
      </w:pPr>
      <w:r w:rsidRPr="00CC5DE3">
        <w:rPr>
          <w:lang w:val="en-US"/>
        </w:rPr>
        <w:t xml:space="preserve">Priyam A., Yadav N., Reddy P.M., Afonso L.O.B., Schultz A.G., Singh P.P. 2022b. Uptake and benefits of biogenic phosphorus nanomaterials applied via fertigation to Japonica rice (Taipei 309) in low- and high-calcareous soil conditions. ACS Agricultural Science and Technology, 2, 3, 462-476. </w:t>
      </w:r>
      <w:hyperlink r:id="rId32" w:history="1">
        <w:r w:rsidR="00BA3678" w:rsidRPr="00CC5DE3">
          <w:rPr>
            <w:rStyle w:val="Collegamentoipertestuale"/>
            <w:lang w:val="en-US"/>
          </w:rPr>
          <w:t>https://doi.org/10.1021/acsagscitech.1c00244</w:t>
        </w:r>
      </w:hyperlink>
      <w:r w:rsidR="00BA3678" w:rsidRPr="00CC5DE3">
        <w:rPr>
          <w:lang w:val="en-US"/>
        </w:rPr>
        <w:t>.</w:t>
      </w:r>
    </w:p>
    <w:p w14:paraId="276C671F" w14:textId="77777777" w:rsidR="00FB793D" w:rsidRPr="00CC5DE3" w:rsidRDefault="00FB793D" w:rsidP="004012D1">
      <w:pPr>
        <w:pStyle w:val="CETReferencetext"/>
        <w:rPr>
          <w:lang w:val="en-US"/>
        </w:rPr>
      </w:pPr>
      <w:r w:rsidRPr="00CC5DE3">
        <w:rPr>
          <w:lang w:val="en-US"/>
        </w:rPr>
        <w:t xml:space="preserve">Ramírez-Rodríguez G.B., Miguel-Rojas C., </w:t>
      </w:r>
      <w:proofErr w:type="spellStart"/>
      <w:r w:rsidRPr="00CC5DE3">
        <w:rPr>
          <w:lang w:val="en-US"/>
        </w:rPr>
        <w:t>Montanha</w:t>
      </w:r>
      <w:proofErr w:type="spellEnd"/>
      <w:r w:rsidRPr="00CC5DE3">
        <w:rPr>
          <w:lang w:val="en-US"/>
        </w:rPr>
        <w:t xml:space="preserve"> G.S., Carmona F.J., Dal Sasso G., Sillero J.C., Skov Pedersen J., Masciocchi N., </w:t>
      </w:r>
      <w:proofErr w:type="spellStart"/>
      <w:r w:rsidRPr="00CC5DE3">
        <w:rPr>
          <w:lang w:val="en-US"/>
        </w:rPr>
        <w:t>Guagliardi</w:t>
      </w:r>
      <w:proofErr w:type="spellEnd"/>
      <w:r w:rsidRPr="00CC5DE3">
        <w:rPr>
          <w:lang w:val="en-US"/>
        </w:rPr>
        <w:t xml:space="preserve"> A., Pérez-de-Luque A., Delgado-López J.M. 2020. Reducing nitrogen dosage in </w:t>
      </w:r>
      <w:r w:rsidRPr="00CC5DE3">
        <w:rPr>
          <w:i/>
          <w:iCs/>
          <w:lang w:val="en-US"/>
        </w:rPr>
        <w:t>Triticum durum</w:t>
      </w:r>
      <w:r w:rsidRPr="00CC5DE3">
        <w:rPr>
          <w:lang w:val="en-US"/>
        </w:rPr>
        <w:t xml:space="preserve"> plants with urea-doped </w:t>
      </w:r>
      <w:proofErr w:type="spellStart"/>
      <w:r w:rsidRPr="00CC5DE3">
        <w:rPr>
          <w:lang w:val="en-US"/>
        </w:rPr>
        <w:t>nanofertilizers</w:t>
      </w:r>
      <w:proofErr w:type="spellEnd"/>
      <w:r w:rsidRPr="00CC5DE3">
        <w:rPr>
          <w:lang w:val="en-US"/>
        </w:rPr>
        <w:t xml:space="preserve">. Nanomaterials 10, 1043. </w:t>
      </w:r>
      <w:hyperlink r:id="rId33" w:history="1">
        <w:r w:rsidRPr="00CC5DE3">
          <w:rPr>
            <w:rStyle w:val="Collegamentoipertestuale"/>
            <w:lang w:val="en-US"/>
          </w:rPr>
          <w:t>https://doi.org/10.3390/nano10061043</w:t>
        </w:r>
      </w:hyperlink>
      <w:r w:rsidRPr="00CC5DE3">
        <w:rPr>
          <w:lang w:val="en-US"/>
        </w:rPr>
        <w:t>.</w:t>
      </w:r>
    </w:p>
    <w:p w14:paraId="3DC4185F" w14:textId="0532D34D" w:rsidR="009A177B" w:rsidRPr="00CC5DE3" w:rsidRDefault="00FB793D" w:rsidP="00FB793D">
      <w:pPr>
        <w:pStyle w:val="CETReferencetext"/>
        <w:rPr>
          <w:lang w:val="en-US"/>
        </w:rPr>
      </w:pPr>
      <w:r w:rsidRPr="00CC5DE3">
        <w:rPr>
          <w:lang w:val="en-US"/>
        </w:rPr>
        <w:t xml:space="preserve">Sigmon L.R., Vaidya S.R., Thrasher C., Mahad S., </w:t>
      </w:r>
      <w:proofErr w:type="spellStart"/>
      <w:r w:rsidRPr="00CC5DE3">
        <w:rPr>
          <w:lang w:val="en-US"/>
        </w:rPr>
        <w:t>Dimkpa</w:t>
      </w:r>
      <w:proofErr w:type="spellEnd"/>
      <w:r w:rsidRPr="00CC5DE3">
        <w:rPr>
          <w:lang w:val="en-US"/>
        </w:rPr>
        <w:t xml:space="preserve"> C.O., Elmer W., White J.C., Fairbrother D.H. 2023. Role of phosphorus type and biodegradable polymer on phosphorus fate and efficacy in a plant-soil system. Journal of Agricultural and Food Chemistry, 71, 44, 16493-16503. </w:t>
      </w:r>
      <w:hyperlink r:id="rId34" w:history="1">
        <w:r w:rsidR="009A177B" w:rsidRPr="00CC5DE3">
          <w:rPr>
            <w:rStyle w:val="Collegamentoipertestuale"/>
            <w:lang w:val="en-US"/>
          </w:rPr>
          <w:t>http://doi.org/10.1021/acs.jafc.3c04735</w:t>
        </w:r>
      </w:hyperlink>
      <w:r w:rsidRPr="00CC5DE3">
        <w:rPr>
          <w:lang w:val="en-US"/>
        </w:rPr>
        <w:t>.</w:t>
      </w:r>
    </w:p>
    <w:p w14:paraId="25326DF3" w14:textId="77777777" w:rsidR="00FB793D" w:rsidRPr="00CC5DE3" w:rsidRDefault="00FB793D" w:rsidP="004012D1">
      <w:pPr>
        <w:pStyle w:val="CETReferencetext"/>
        <w:rPr>
          <w:rFonts w:cs="Arial"/>
          <w:lang w:val="en-US"/>
        </w:rPr>
      </w:pPr>
      <w:r w:rsidRPr="00CC5DE3">
        <w:rPr>
          <w:rFonts w:cs="Arial"/>
          <w:lang w:val="en-US"/>
        </w:rPr>
        <w:t xml:space="preserve">Smith A.M., Gilbertson L.M. 2018, Rational ligand design to improve agrochemical delivery efficiency and advance agriculture sustainability. ACS Sustainable Chemical Engineering, 6, 11, 13599-13610. </w:t>
      </w:r>
      <w:hyperlink r:id="rId35" w:history="1">
        <w:r w:rsidRPr="00CC5DE3">
          <w:rPr>
            <w:rStyle w:val="Collegamentoipertestuale"/>
            <w:rFonts w:cs="Arial"/>
            <w:lang w:val="en-US"/>
          </w:rPr>
          <w:t>https://doi.org/10.1021/acssuschemeng.8b03457</w:t>
        </w:r>
      </w:hyperlink>
      <w:r w:rsidRPr="00CC5DE3">
        <w:rPr>
          <w:rFonts w:cs="Arial"/>
          <w:lang w:val="en-US"/>
        </w:rPr>
        <w:t>.</w:t>
      </w:r>
    </w:p>
    <w:p w14:paraId="0D6B0AEE" w14:textId="5E8F166A" w:rsidR="00FB793D" w:rsidRPr="00CC5DE3" w:rsidRDefault="00FB793D" w:rsidP="004012D1">
      <w:pPr>
        <w:pStyle w:val="CETReferencetext"/>
        <w:rPr>
          <w:lang w:val="en-US"/>
        </w:rPr>
      </w:pPr>
      <w:r w:rsidRPr="00CC5DE3">
        <w:rPr>
          <w:lang w:val="en-US"/>
        </w:rPr>
        <w:t>Springmann M., Clark M., Mason-</w:t>
      </w:r>
      <w:proofErr w:type="spellStart"/>
      <w:r w:rsidRPr="00CC5DE3">
        <w:rPr>
          <w:lang w:val="en-US"/>
        </w:rPr>
        <w:t>D'Croz</w:t>
      </w:r>
      <w:proofErr w:type="spellEnd"/>
      <w:r w:rsidRPr="00CC5DE3">
        <w:rPr>
          <w:lang w:val="en-US"/>
        </w:rPr>
        <w:t xml:space="preserve"> D, Wiebe K., </w:t>
      </w:r>
      <w:proofErr w:type="spellStart"/>
      <w:r w:rsidRPr="00CC5DE3">
        <w:rPr>
          <w:lang w:val="en-US"/>
        </w:rPr>
        <w:t>Bodirsky</w:t>
      </w:r>
      <w:proofErr w:type="spellEnd"/>
      <w:r w:rsidRPr="00CC5DE3">
        <w:rPr>
          <w:lang w:val="en-US"/>
        </w:rPr>
        <w:t xml:space="preserve"> B.L., </w:t>
      </w:r>
      <w:proofErr w:type="spellStart"/>
      <w:r w:rsidRPr="00CC5DE3">
        <w:rPr>
          <w:lang w:val="en-US"/>
        </w:rPr>
        <w:t>Lassaletta</w:t>
      </w:r>
      <w:proofErr w:type="spellEnd"/>
      <w:r w:rsidRPr="00CC5DE3">
        <w:rPr>
          <w:lang w:val="en-US"/>
        </w:rPr>
        <w:t xml:space="preserve"> L., de Vries W., Vermeulen S.J., Herrero M, Carlson K.M., Jonell M., Troell M., DeClerck F., Gordon L.J., </w:t>
      </w:r>
      <w:proofErr w:type="spellStart"/>
      <w:r w:rsidRPr="00CC5DE3">
        <w:rPr>
          <w:lang w:val="en-US"/>
        </w:rPr>
        <w:t>Zurayk</w:t>
      </w:r>
      <w:proofErr w:type="spellEnd"/>
      <w:r w:rsidRPr="00CC5DE3">
        <w:rPr>
          <w:lang w:val="en-US"/>
        </w:rPr>
        <w:t xml:space="preserve"> R., Scarborough P., Rayner M., Loken B., Fanzo J., Godfray H.C.J., Tilman D., </w:t>
      </w:r>
      <w:proofErr w:type="spellStart"/>
      <w:r w:rsidRPr="00CC5DE3">
        <w:rPr>
          <w:lang w:val="en-US"/>
        </w:rPr>
        <w:t>Rockström</w:t>
      </w:r>
      <w:proofErr w:type="spellEnd"/>
      <w:r w:rsidRPr="00CC5DE3">
        <w:rPr>
          <w:lang w:val="en-US"/>
        </w:rPr>
        <w:t xml:space="preserve"> J., Willett W. 2018. Options for keeping the food system within environmental limits. Nature, 562, 519-525. </w:t>
      </w:r>
      <w:hyperlink r:id="rId36" w:history="1">
        <w:r w:rsidRPr="00CC5DE3">
          <w:rPr>
            <w:rStyle w:val="Collegamentoipertestuale"/>
            <w:color w:val="auto"/>
            <w:lang w:val="en-US"/>
          </w:rPr>
          <w:t>https://doi.org/10.1038/s41586-018-0594-0</w:t>
        </w:r>
      </w:hyperlink>
      <w:r w:rsidRPr="00CC5DE3">
        <w:rPr>
          <w:lang w:val="en-US"/>
        </w:rPr>
        <w:t>.</w:t>
      </w:r>
    </w:p>
    <w:p w14:paraId="27E1CF87" w14:textId="18FD881A" w:rsidR="002B442D" w:rsidRPr="00CC5DE3" w:rsidRDefault="00AB0469" w:rsidP="00FB793D">
      <w:pPr>
        <w:pStyle w:val="CETReferencetext"/>
        <w:rPr>
          <w:lang w:val="en-US"/>
        </w:rPr>
      </w:pPr>
      <w:proofErr w:type="spellStart"/>
      <w:r w:rsidRPr="00CC5DE3">
        <w:rPr>
          <w:lang w:val="en-US"/>
        </w:rPr>
        <w:t>Szameitat</w:t>
      </w:r>
      <w:proofErr w:type="spellEnd"/>
      <w:r w:rsidRPr="00CC5DE3">
        <w:rPr>
          <w:lang w:val="en-US"/>
        </w:rPr>
        <w:t xml:space="preserve"> A.E., Sharma A., Minutello F., Pinna A., Er-Rafik M., Hansen T.H., Persson D.P., Andersen B., Husted S. Unravelling the interactions between nano-hydroxyapatite and the roots of phosphorus deficient barley plants. Environmental Science: Nano 8, 2, 444-459. </w:t>
      </w:r>
      <w:hyperlink r:id="rId37" w:history="1">
        <w:r w:rsidR="002B442D" w:rsidRPr="00CC5DE3">
          <w:rPr>
            <w:rStyle w:val="Collegamentoipertestuale"/>
            <w:lang w:val="en-US"/>
          </w:rPr>
          <w:t>https://doi.org/10.1039/D0EN00974A</w:t>
        </w:r>
      </w:hyperlink>
      <w:r w:rsidR="002B442D" w:rsidRPr="00CC5DE3">
        <w:rPr>
          <w:lang w:val="en-US"/>
        </w:rPr>
        <w:t>.</w:t>
      </w:r>
    </w:p>
    <w:p w14:paraId="0BD533F5" w14:textId="37E7BF1D" w:rsidR="00FB793D" w:rsidRPr="00CC5DE3" w:rsidRDefault="00FB793D" w:rsidP="00FB793D">
      <w:pPr>
        <w:pStyle w:val="CETReferencetext"/>
        <w:rPr>
          <w:lang w:val="en-US"/>
        </w:rPr>
      </w:pPr>
      <w:r w:rsidRPr="00CC5DE3">
        <w:rPr>
          <w:lang w:val="en-US"/>
        </w:rPr>
        <w:t xml:space="preserve">Tang S., Liang J., Li O., Shao N., Jin Y., Ni J., Fei X., Li Z. Morphology-tailored hydroxyapatite nanocarrier for rhizosphere-targeted phosphorus delivery. 2023. Small, 19, 14, 2206954. </w:t>
      </w:r>
      <w:hyperlink r:id="rId38" w:history="1">
        <w:r w:rsidRPr="00CC5DE3">
          <w:rPr>
            <w:rStyle w:val="Collegamentoipertestuale"/>
            <w:lang w:val="en-US"/>
          </w:rPr>
          <w:t>http://doi.org/10.1002/smll.202206954</w:t>
        </w:r>
      </w:hyperlink>
      <w:r w:rsidRPr="00CC5DE3">
        <w:rPr>
          <w:lang w:val="en-US"/>
        </w:rPr>
        <w:t>.</w:t>
      </w:r>
    </w:p>
    <w:p w14:paraId="74144B0D" w14:textId="7425715C" w:rsidR="00AB0469" w:rsidRPr="00CC5DE3" w:rsidRDefault="00AB0469" w:rsidP="004012D1">
      <w:pPr>
        <w:pStyle w:val="CETReferencetext"/>
        <w:rPr>
          <w:rFonts w:cs="Arial"/>
          <w:lang w:val="en-US"/>
        </w:rPr>
      </w:pPr>
      <w:r w:rsidRPr="00CC5DE3">
        <w:rPr>
          <w:rFonts w:cs="Arial"/>
          <w:lang w:val="en-US"/>
        </w:rPr>
        <w:t>Taskin M.B., Sahin O., Taskin, H., Atakol O., Inal A., Gunes A. Effect of synthetic nano-hydroxyapatite as an alternative phosphorus source on growth and phosphorus nutrition of lettuce (</w:t>
      </w:r>
      <w:proofErr w:type="spellStart"/>
      <w:r w:rsidRPr="00CC5DE3">
        <w:rPr>
          <w:rFonts w:cs="Arial"/>
          <w:i/>
          <w:iCs/>
          <w:lang w:val="en-US"/>
        </w:rPr>
        <w:t>Lactuca</w:t>
      </w:r>
      <w:proofErr w:type="spellEnd"/>
      <w:r w:rsidRPr="00CC5DE3">
        <w:rPr>
          <w:rFonts w:cs="Arial"/>
          <w:i/>
          <w:iCs/>
          <w:lang w:val="en-US"/>
        </w:rPr>
        <w:t xml:space="preserve"> sativa</w:t>
      </w:r>
      <w:r w:rsidRPr="00CC5DE3">
        <w:rPr>
          <w:rFonts w:cs="Arial"/>
          <w:lang w:val="en-US"/>
        </w:rPr>
        <w:t xml:space="preserve"> L.) plant. Journal of Plant Nutrition. 41, 9, 1148-1154. </w:t>
      </w:r>
      <w:hyperlink r:id="rId39" w:history="1">
        <w:r w:rsidR="002B442D" w:rsidRPr="00CC5DE3">
          <w:rPr>
            <w:rStyle w:val="Collegamentoipertestuale"/>
            <w:rFonts w:cs="Arial"/>
            <w:lang w:val="en-US"/>
          </w:rPr>
          <w:t>https://doi.org/10.1080/01904167.2018.1433836</w:t>
        </w:r>
      </w:hyperlink>
      <w:r w:rsidR="002B442D" w:rsidRPr="00CC5DE3">
        <w:rPr>
          <w:rFonts w:cs="Arial"/>
          <w:lang w:val="en-US"/>
        </w:rPr>
        <w:t>.</w:t>
      </w:r>
    </w:p>
    <w:p w14:paraId="0D36EDBD" w14:textId="20263036" w:rsidR="00FB793D" w:rsidRPr="00CC5DE3" w:rsidRDefault="00FB793D" w:rsidP="004012D1">
      <w:pPr>
        <w:pStyle w:val="CETReferencetext"/>
        <w:rPr>
          <w:rFonts w:cs="Arial"/>
          <w:lang w:val="en-US"/>
        </w:rPr>
      </w:pPr>
      <w:r w:rsidRPr="00CC5DE3">
        <w:rPr>
          <w:rFonts w:cs="Arial"/>
          <w:lang w:val="en-US"/>
        </w:rPr>
        <w:t>United Nations (2018). The 2030 Agenda and the Sustainable Development Goals: An opportunity for Latin America and the Caribbean (LC/G.2681-P/Rev).</w:t>
      </w:r>
    </w:p>
    <w:p w14:paraId="0F4B13D3" w14:textId="77777777" w:rsidR="00FB793D" w:rsidRPr="00CC5DE3" w:rsidRDefault="00FB793D" w:rsidP="004012D1">
      <w:pPr>
        <w:pStyle w:val="CETReferencetext"/>
        <w:rPr>
          <w:rFonts w:cs="Arial"/>
          <w:lang w:val="en-US"/>
        </w:rPr>
      </w:pPr>
      <w:r w:rsidRPr="00CC5DE3">
        <w:rPr>
          <w:rFonts w:cs="Arial"/>
          <w:lang w:val="en-US"/>
        </w:rPr>
        <w:t xml:space="preserve">Urso J.H., Gilbertson LM. 2018. Atom conversion efficiency: a new sustainability metric applied to nitrogen and phosphorus use in agriculture. ACS Sustainable Chemistry &amp; Engineering, 6, 4453-4463. </w:t>
      </w:r>
      <w:hyperlink r:id="rId40" w:history="1">
        <w:r w:rsidRPr="00CC5DE3">
          <w:rPr>
            <w:rStyle w:val="Collegamentoipertestuale"/>
            <w:rFonts w:cs="Arial"/>
            <w:lang w:val="en-US"/>
          </w:rPr>
          <w:t>https://doi.org/10.1021/acssuschemeng.7b03600</w:t>
        </w:r>
      </w:hyperlink>
      <w:r w:rsidRPr="00CC5DE3">
        <w:rPr>
          <w:rFonts w:cs="Arial"/>
          <w:lang w:val="en-US"/>
        </w:rPr>
        <w:t>.</w:t>
      </w:r>
    </w:p>
    <w:p w14:paraId="4E4446EA" w14:textId="77777777" w:rsidR="00FB793D" w:rsidRPr="00CC5DE3" w:rsidRDefault="00FB793D" w:rsidP="004012D1">
      <w:pPr>
        <w:pStyle w:val="CETReferencetext"/>
        <w:rPr>
          <w:rFonts w:cs="Arial"/>
          <w:lang w:val="en-US"/>
        </w:rPr>
      </w:pPr>
      <w:r w:rsidRPr="00CC5DE3">
        <w:rPr>
          <w:rFonts w:cs="Arial"/>
          <w:lang w:val="en-US"/>
        </w:rPr>
        <w:t xml:space="preserve">Usman M., Farooq M., Wakeel A., Nawaz A., Cheema S.A., </w:t>
      </w:r>
      <w:proofErr w:type="spellStart"/>
      <w:r w:rsidRPr="00CC5DE3">
        <w:rPr>
          <w:rFonts w:cs="Arial"/>
          <w:lang w:val="en-US"/>
        </w:rPr>
        <w:t>ur</w:t>
      </w:r>
      <w:proofErr w:type="spellEnd"/>
      <w:r w:rsidRPr="00CC5DE3">
        <w:rPr>
          <w:rFonts w:cs="Arial"/>
          <w:lang w:val="en-US"/>
        </w:rPr>
        <w:t xml:space="preserve"> Rehman H., Ashraf I., Sanaullah M., 2020. Nanotechnology in agriculture: </w:t>
      </w:r>
      <w:proofErr w:type="gramStart"/>
      <w:r w:rsidRPr="00CC5DE3">
        <w:rPr>
          <w:rFonts w:cs="Arial"/>
          <w:lang w:val="en-US"/>
        </w:rPr>
        <w:t>Current status</w:t>
      </w:r>
      <w:proofErr w:type="gramEnd"/>
      <w:r w:rsidRPr="00CC5DE3">
        <w:rPr>
          <w:rFonts w:cs="Arial"/>
          <w:lang w:val="en-US"/>
        </w:rPr>
        <w:t xml:space="preserve">, challenges and future opportunities. Science of The Total Environment, 721, 137778. </w:t>
      </w:r>
      <w:hyperlink r:id="rId41" w:history="1">
        <w:r w:rsidRPr="00CC5DE3">
          <w:rPr>
            <w:rStyle w:val="Collegamentoipertestuale"/>
            <w:rFonts w:cs="Arial"/>
            <w:lang w:val="en-US"/>
          </w:rPr>
          <w:t>https://doi.org/10.1016/j.scitotenv.2020.137778</w:t>
        </w:r>
      </w:hyperlink>
      <w:r w:rsidRPr="00CC5DE3">
        <w:rPr>
          <w:rFonts w:cs="Arial"/>
          <w:lang w:val="en-US"/>
        </w:rPr>
        <w:t>.</w:t>
      </w:r>
    </w:p>
    <w:p w14:paraId="2C6160DE" w14:textId="77777777" w:rsidR="00FB793D" w:rsidRPr="00CC5DE3" w:rsidRDefault="00FB793D" w:rsidP="004012D1">
      <w:pPr>
        <w:pStyle w:val="CETReferencetext"/>
        <w:rPr>
          <w:rFonts w:cs="Arial"/>
          <w:shd w:val="clear" w:color="auto" w:fill="FFFFFF"/>
          <w:lang w:val="en-US"/>
        </w:rPr>
      </w:pPr>
      <w:r w:rsidRPr="00CC5DE3">
        <w:rPr>
          <w:rFonts w:cs="Arial"/>
          <w:shd w:val="clear" w:color="auto" w:fill="FFFFFF"/>
          <w:lang w:val="en-US"/>
        </w:rPr>
        <w:t xml:space="preserve">World Bank. 2023. World Development Indicators. Agriculture, forestry, and fishing, value added (% of GDP). Retrieved from </w:t>
      </w:r>
      <w:hyperlink r:id="rId42" w:history="1">
        <w:r w:rsidRPr="00CC5DE3">
          <w:rPr>
            <w:rStyle w:val="Collegamentoipertestuale"/>
            <w:rFonts w:cs="Arial"/>
            <w:shd w:val="clear" w:color="auto" w:fill="FFFFFF"/>
            <w:lang w:val="en-US"/>
          </w:rPr>
          <w:t>https://data.worldbank.org/indicator/NV.AGR.TOTL.ZS</w:t>
        </w:r>
      </w:hyperlink>
      <w:r w:rsidRPr="00CC5DE3">
        <w:rPr>
          <w:rFonts w:cs="Arial"/>
          <w:shd w:val="clear" w:color="auto" w:fill="FFFFFF"/>
          <w:lang w:val="en-US"/>
        </w:rPr>
        <w:t>.</w:t>
      </w:r>
    </w:p>
    <w:p w14:paraId="738004A8" w14:textId="7DBC21CB" w:rsidR="00314A54" w:rsidRDefault="00F05D60" w:rsidP="00F05D60">
      <w:pPr>
        <w:pStyle w:val="CETReferencetext"/>
      </w:pPr>
      <w:r w:rsidRPr="00CC5DE3">
        <w:rPr>
          <w:lang w:val="en-US"/>
        </w:rPr>
        <w:t xml:space="preserve">Yu H., Wu X., Zhang G., Zhou F., Harvey P.R., Wang L., Fan S., Xie X., Li F., Zhou H., Zhao X., Zhang X. 2022. Identification of the phosphorus-solubilizing bacteria strain JP233 and its effects on soil phosphorus leaching loss and crop growth. Frontiers in Microbiology. 13, 892533. </w:t>
      </w:r>
      <w:hyperlink r:id="rId43" w:history="1">
        <w:r w:rsidRPr="00CC5DE3">
          <w:rPr>
            <w:rStyle w:val="Collegamentoipertestuale"/>
            <w:lang w:val="en-US"/>
          </w:rPr>
          <w:t>https://doi.org/10.3389/fmicb.2022.892533</w:t>
        </w:r>
      </w:hyperlink>
      <w:r w:rsidRPr="00CC5DE3">
        <w:rPr>
          <w:lang w:val="en-US"/>
        </w:rPr>
        <w:t>.</w:t>
      </w:r>
      <w:bookmarkEnd w:id="0"/>
    </w:p>
    <w:sectPr w:rsidR="00314A54" w:rsidSect="005B42E3">
      <w:footerReference w:type="default" r:id="rId44"/>
      <w:footerReference w:type="first" r:id="rId45"/>
      <w:type w:val="continuous"/>
      <w:pgSz w:w="11906" w:h="16838" w:code="9"/>
      <w:pgMar w:top="1701" w:right="1418" w:bottom="1701" w:left="1701" w:header="1701"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90D6A" w14:textId="77777777" w:rsidR="007F2B0A" w:rsidRPr="00CC5DE3" w:rsidRDefault="007F2B0A" w:rsidP="004F5E36">
      <w:r w:rsidRPr="00CC5DE3">
        <w:separator/>
      </w:r>
    </w:p>
  </w:endnote>
  <w:endnote w:type="continuationSeparator" w:id="0">
    <w:p w14:paraId="545BFCEB" w14:textId="77777777" w:rsidR="007F2B0A" w:rsidRPr="00CC5DE3" w:rsidRDefault="007F2B0A" w:rsidP="004F5E36">
      <w:r w:rsidRPr="00CC5DE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5CA2" w14:textId="0DB6D1DA" w:rsidR="005B42E3" w:rsidRPr="00CC5DE3" w:rsidRDefault="005B42E3">
    <w:pPr>
      <w:pStyle w:val="Pidipagina"/>
      <w:jc w:val="right"/>
    </w:pPr>
  </w:p>
  <w:p w14:paraId="57CC507D" w14:textId="77777777" w:rsidR="002D0A5E" w:rsidRPr="00CC5DE3" w:rsidRDefault="002D0A5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832420"/>
      <w:docPartObj>
        <w:docPartGallery w:val="Page Numbers (Bottom of Page)"/>
        <w:docPartUnique/>
      </w:docPartObj>
    </w:sdtPr>
    <w:sdtEndPr/>
    <w:sdtContent>
      <w:p w14:paraId="7B3ACA0A" w14:textId="711A8894" w:rsidR="005B42E3" w:rsidRPr="00CC5DE3" w:rsidRDefault="005B42E3">
        <w:pPr>
          <w:pStyle w:val="Pidipagina"/>
          <w:jc w:val="right"/>
        </w:pPr>
        <w:r w:rsidRPr="00CC5DE3">
          <w:fldChar w:fldCharType="begin"/>
        </w:r>
        <w:r w:rsidRPr="00CC5DE3">
          <w:instrText>PAGE   \* MERGEFORMAT</w:instrText>
        </w:r>
        <w:r w:rsidRPr="00CC5DE3">
          <w:fldChar w:fldCharType="separate"/>
        </w:r>
        <w:r w:rsidRPr="00CC5DE3">
          <w:t>2</w:t>
        </w:r>
        <w:r w:rsidRPr="00CC5DE3">
          <w:fldChar w:fldCharType="end"/>
        </w:r>
      </w:p>
    </w:sdtContent>
  </w:sdt>
  <w:p w14:paraId="17B63849" w14:textId="77777777" w:rsidR="002D0A5E" w:rsidRPr="00CC5DE3" w:rsidRDefault="002D0A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51B71" w14:textId="77777777" w:rsidR="007F2B0A" w:rsidRPr="00CC5DE3" w:rsidRDefault="007F2B0A" w:rsidP="004F5E36">
      <w:r w:rsidRPr="00CC5DE3">
        <w:separator/>
      </w:r>
    </w:p>
  </w:footnote>
  <w:footnote w:type="continuationSeparator" w:id="0">
    <w:p w14:paraId="57A786B0" w14:textId="77777777" w:rsidR="007F2B0A" w:rsidRPr="00CC5DE3" w:rsidRDefault="007F2B0A" w:rsidP="004F5E36">
      <w:r w:rsidRPr="00CC5DE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2A6414E"/>
    <w:multiLevelType w:val="hybridMultilevel"/>
    <w:tmpl w:val="08DAD1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2D51EF2"/>
    <w:multiLevelType w:val="hybridMultilevel"/>
    <w:tmpl w:val="8B48D08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445344636">
    <w:abstractNumId w:val="10"/>
  </w:num>
  <w:num w:numId="2" w16cid:durableId="1968659096">
    <w:abstractNumId w:val="8"/>
  </w:num>
  <w:num w:numId="3" w16cid:durableId="641888520">
    <w:abstractNumId w:val="3"/>
  </w:num>
  <w:num w:numId="4" w16cid:durableId="228880636">
    <w:abstractNumId w:val="2"/>
  </w:num>
  <w:num w:numId="5" w16cid:durableId="390035128">
    <w:abstractNumId w:val="1"/>
  </w:num>
  <w:num w:numId="6" w16cid:durableId="1421875999">
    <w:abstractNumId w:val="0"/>
  </w:num>
  <w:num w:numId="7" w16cid:durableId="334965294">
    <w:abstractNumId w:val="9"/>
  </w:num>
  <w:num w:numId="8" w16cid:durableId="517886083">
    <w:abstractNumId w:val="7"/>
  </w:num>
  <w:num w:numId="9" w16cid:durableId="702286081">
    <w:abstractNumId w:val="6"/>
  </w:num>
  <w:num w:numId="10" w16cid:durableId="413939330">
    <w:abstractNumId w:val="5"/>
  </w:num>
  <w:num w:numId="11" w16cid:durableId="793211435">
    <w:abstractNumId w:val="4"/>
  </w:num>
  <w:num w:numId="12" w16cid:durableId="2077389166">
    <w:abstractNumId w:val="18"/>
  </w:num>
  <w:num w:numId="13" w16cid:durableId="707141994">
    <w:abstractNumId w:val="13"/>
  </w:num>
  <w:num w:numId="14" w16cid:durableId="1262298470">
    <w:abstractNumId w:val="19"/>
  </w:num>
  <w:num w:numId="15" w16cid:durableId="1893156402">
    <w:abstractNumId w:val="21"/>
  </w:num>
  <w:num w:numId="16" w16cid:durableId="138500487">
    <w:abstractNumId w:val="20"/>
  </w:num>
  <w:num w:numId="17" w16cid:durableId="1155805706">
    <w:abstractNumId w:val="12"/>
  </w:num>
  <w:num w:numId="18" w16cid:durableId="1176961333">
    <w:abstractNumId w:val="13"/>
    <w:lvlOverride w:ilvl="0">
      <w:startOverride w:val="1"/>
    </w:lvlOverride>
  </w:num>
  <w:num w:numId="19" w16cid:durableId="985663881">
    <w:abstractNumId w:val="17"/>
  </w:num>
  <w:num w:numId="20" w16cid:durableId="348608283">
    <w:abstractNumId w:val="16"/>
  </w:num>
  <w:num w:numId="21" w16cid:durableId="1476951736">
    <w:abstractNumId w:val="15"/>
  </w:num>
  <w:num w:numId="22" w16cid:durableId="1419643559">
    <w:abstractNumId w:val="14"/>
  </w:num>
  <w:num w:numId="23" w16cid:durableId="2017884108">
    <w:abstractNumId w:val="11"/>
  </w:num>
  <w:num w:numId="24" w16cid:durableId="12622274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Mq0FAHYl1OMtAAAA"/>
  </w:docVars>
  <w:rsids>
    <w:rsidRoot w:val="000E414A"/>
    <w:rsid w:val="00001C35"/>
    <w:rsid w:val="0000200D"/>
    <w:rsid w:val="000027C0"/>
    <w:rsid w:val="00003B45"/>
    <w:rsid w:val="000052FB"/>
    <w:rsid w:val="00011372"/>
    <w:rsid w:val="000117CB"/>
    <w:rsid w:val="00021B6B"/>
    <w:rsid w:val="00023C21"/>
    <w:rsid w:val="00024F0A"/>
    <w:rsid w:val="0003148D"/>
    <w:rsid w:val="00031EEC"/>
    <w:rsid w:val="000409FE"/>
    <w:rsid w:val="0004140D"/>
    <w:rsid w:val="00051566"/>
    <w:rsid w:val="000562A9"/>
    <w:rsid w:val="000619C8"/>
    <w:rsid w:val="00062A9A"/>
    <w:rsid w:val="0006351D"/>
    <w:rsid w:val="00063941"/>
    <w:rsid w:val="00065058"/>
    <w:rsid w:val="000724E5"/>
    <w:rsid w:val="00077784"/>
    <w:rsid w:val="00081814"/>
    <w:rsid w:val="00086C39"/>
    <w:rsid w:val="00096CEA"/>
    <w:rsid w:val="000A03B2"/>
    <w:rsid w:val="000B33D5"/>
    <w:rsid w:val="000B5E5E"/>
    <w:rsid w:val="000B69C6"/>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453"/>
    <w:rsid w:val="00134DE4"/>
    <w:rsid w:val="0014034D"/>
    <w:rsid w:val="00144D16"/>
    <w:rsid w:val="00150E59"/>
    <w:rsid w:val="00152DE3"/>
    <w:rsid w:val="001540B2"/>
    <w:rsid w:val="00156F74"/>
    <w:rsid w:val="00164CF9"/>
    <w:rsid w:val="001667A6"/>
    <w:rsid w:val="00184AD6"/>
    <w:rsid w:val="00190B85"/>
    <w:rsid w:val="001A4AF7"/>
    <w:rsid w:val="001B0349"/>
    <w:rsid w:val="001B0E6C"/>
    <w:rsid w:val="001B1E93"/>
    <w:rsid w:val="001B65C1"/>
    <w:rsid w:val="001B6AF9"/>
    <w:rsid w:val="001B7D90"/>
    <w:rsid w:val="001C684B"/>
    <w:rsid w:val="001D0CFB"/>
    <w:rsid w:val="001D21AF"/>
    <w:rsid w:val="001D53FC"/>
    <w:rsid w:val="001F1C83"/>
    <w:rsid w:val="001F42A5"/>
    <w:rsid w:val="001F4AC3"/>
    <w:rsid w:val="001F7B9D"/>
    <w:rsid w:val="00201C93"/>
    <w:rsid w:val="00205E00"/>
    <w:rsid w:val="002123FE"/>
    <w:rsid w:val="002224B4"/>
    <w:rsid w:val="002269E9"/>
    <w:rsid w:val="002447EF"/>
    <w:rsid w:val="00251550"/>
    <w:rsid w:val="00252CB3"/>
    <w:rsid w:val="00263B05"/>
    <w:rsid w:val="00265A34"/>
    <w:rsid w:val="00267CF3"/>
    <w:rsid w:val="0027221A"/>
    <w:rsid w:val="00275B61"/>
    <w:rsid w:val="00280FAF"/>
    <w:rsid w:val="00282656"/>
    <w:rsid w:val="0028292E"/>
    <w:rsid w:val="00294E40"/>
    <w:rsid w:val="00296B83"/>
    <w:rsid w:val="002A3E4C"/>
    <w:rsid w:val="002B4015"/>
    <w:rsid w:val="002B442D"/>
    <w:rsid w:val="002B78CE"/>
    <w:rsid w:val="002C2FB6"/>
    <w:rsid w:val="002D0A5E"/>
    <w:rsid w:val="002E4FA4"/>
    <w:rsid w:val="002E5FA7"/>
    <w:rsid w:val="002E7F03"/>
    <w:rsid w:val="002F3309"/>
    <w:rsid w:val="002F5441"/>
    <w:rsid w:val="003008CE"/>
    <w:rsid w:val="003009B7"/>
    <w:rsid w:val="00300E56"/>
    <w:rsid w:val="0030152C"/>
    <w:rsid w:val="003022E5"/>
    <w:rsid w:val="00303D19"/>
    <w:rsid w:val="0030469C"/>
    <w:rsid w:val="00307CDD"/>
    <w:rsid w:val="00314A54"/>
    <w:rsid w:val="00321CA6"/>
    <w:rsid w:val="00323763"/>
    <w:rsid w:val="00323C5F"/>
    <w:rsid w:val="00334C09"/>
    <w:rsid w:val="003356AB"/>
    <w:rsid w:val="003479E4"/>
    <w:rsid w:val="003669D7"/>
    <w:rsid w:val="003723D4"/>
    <w:rsid w:val="00374D37"/>
    <w:rsid w:val="00374FFB"/>
    <w:rsid w:val="00381905"/>
    <w:rsid w:val="00384CC8"/>
    <w:rsid w:val="003871FD"/>
    <w:rsid w:val="003918AD"/>
    <w:rsid w:val="003A0B93"/>
    <w:rsid w:val="003A1E30"/>
    <w:rsid w:val="003A2829"/>
    <w:rsid w:val="003A50A8"/>
    <w:rsid w:val="003A6FC6"/>
    <w:rsid w:val="003A7D1C"/>
    <w:rsid w:val="003B304B"/>
    <w:rsid w:val="003B3146"/>
    <w:rsid w:val="003B6967"/>
    <w:rsid w:val="003D01FB"/>
    <w:rsid w:val="003F015E"/>
    <w:rsid w:val="003F75E8"/>
    <w:rsid w:val="00400414"/>
    <w:rsid w:val="004012D1"/>
    <w:rsid w:val="004125F9"/>
    <w:rsid w:val="0041446B"/>
    <w:rsid w:val="00423BFD"/>
    <w:rsid w:val="00424A8C"/>
    <w:rsid w:val="004317C9"/>
    <w:rsid w:val="0044071E"/>
    <w:rsid w:val="004428F9"/>
    <w:rsid w:val="0044329C"/>
    <w:rsid w:val="00446347"/>
    <w:rsid w:val="00453E24"/>
    <w:rsid w:val="00456805"/>
    <w:rsid w:val="00457456"/>
    <w:rsid w:val="004577FE"/>
    <w:rsid w:val="00457B9C"/>
    <w:rsid w:val="0046164A"/>
    <w:rsid w:val="004628D2"/>
    <w:rsid w:val="00462DCD"/>
    <w:rsid w:val="004643DC"/>
    <w:rsid w:val="004648AD"/>
    <w:rsid w:val="004703A9"/>
    <w:rsid w:val="004760DE"/>
    <w:rsid w:val="004761E9"/>
    <w:rsid w:val="004763D7"/>
    <w:rsid w:val="00480473"/>
    <w:rsid w:val="0048053F"/>
    <w:rsid w:val="00490066"/>
    <w:rsid w:val="00492E9B"/>
    <w:rsid w:val="004A004E"/>
    <w:rsid w:val="004A24CF"/>
    <w:rsid w:val="004C3D1D"/>
    <w:rsid w:val="004C3D84"/>
    <w:rsid w:val="004C6A9B"/>
    <w:rsid w:val="004C7913"/>
    <w:rsid w:val="004D63D5"/>
    <w:rsid w:val="004E1759"/>
    <w:rsid w:val="004E345F"/>
    <w:rsid w:val="004E4DD6"/>
    <w:rsid w:val="004F5E36"/>
    <w:rsid w:val="00507B47"/>
    <w:rsid w:val="00507BEF"/>
    <w:rsid w:val="00507CC9"/>
    <w:rsid w:val="005119A5"/>
    <w:rsid w:val="0051254F"/>
    <w:rsid w:val="005157EA"/>
    <w:rsid w:val="00516AAC"/>
    <w:rsid w:val="005207BD"/>
    <w:rsid w:val="005278B7"/>
    <w:rsid w:val="00527FD6"/>
    <w:rsid w:val="00532016"/>
    <w:rsid w:val="00532B24"/>
    <w:rsid w:val="005346C8"/>
    <w:rsid w:val="00543E7D"/>
    <w:rsid w:val="00547A68"/>
    <w:rsid w:val="00552433"/>
    <w:rsid w:val="005531C9"/>
    <w:rsid w:val="0056174F"/>
    <w:rsid w:val="0057095C"/>
    <w:rsid w:val="00570C43"/>
    <w:rsid w:val="0057239A"/>
    <w:rsid w:val="005A0860"/>
    <w:rsid w:val="005A1055"/>
    <w:rsid w:val="005A7AF4"/>
    <w:rsid w:val="005B2110"/>
    <w:rsid w:val="005B42E3"/>
    <w:rsid w:val="005B61E6"/>
    <w:rsid w:val="005C77E1"/>
    <w:rsid w:val="005D668A"/>
    <w:rsid w:val="005D6A2F"/>
    <w:rsid w:val="005E1A82"/>
    <w:rsid w:val="005E794C"/>
    <w:rsid w:val="005F0A28"/>
    <w:rsid w:val="005F0E5E"/>
    <w:rsid w:val="00600535"/>
    <w:rsid w:val="006032BA"/>
    <w:rsid w:val="00610CD6"/>
    <w:rsid w:val="00612A95"/>
    <w:rsid w:val="00612AB4"/>
    <w:rsid w:val="00620DEE"/>
    <w:rsid w:val="00621F92"/>
    <w:rsid w:val="0062280A"/>
    <w:rsid w:val="0062440F"/>
    <w:rsid w:val="00625639"/>
    <w:rsid w:val="006311F3"/>
    <w:rsid w:val="00631B33"/>
    <w:rsid w:val="0064184D"/>
    <w:rsid w:val="006422CC"/>
    <w:rsid w:val="00642810"/>
    <w:rsid w:val="006601D9"/>
    <w:rsid w:val="00660E3E"/>
    <w:rsid w:val="00662E74"/>
    <w:rsid w:val="006634A6"/>
    <w:rsid w:val="0066580D"/>
    <w:rsid w:val="00665C6A"/>
    <w:rsid w:val="00680C23"/>
    <w:rsid w:val="00685577"/>
    <w:rsid w:val="006926A7"/>
    <w:rsid w:val="00693766"/>
    <w:rsid w:val="006A2045"/>
    <w:rsid w:val="006A3281"/>
    <w:rsid w:val="006A634A"/>
    <w:rsid w:val="006B4888"/>
    <w:rsid w:val="006B7512"/>
    <w:rsid w:val="006C0234"/>
    <w:rsid w:val="006C2E45"/>
    <w:rsid w:val="006C359C"/>
    <w:rsid w:val="006C5579"/>
    <w:rsid w:val="006C76E1"/>
    <w:rsid w:val="006D0479"/>
    <w:rsid w:val="006D6E8B"/>
    <w:rsid w:val="006E258A"/>
    <w:rsid w:val="006E737D"/>
    <w:rsid w:val="00703C56"/>
    <w:rsid w:val="00713973"/>
    <w:rsid w:val="00720A24"/>
    <w:rsid w:val="00722D4F"/>
    <w:rsid w:val="00723169"/>
    <w:rsid w:val="00732386"/>
    <w:rsid w:val="0073514D"/>
    <w:rsid w:val="0073743E"/>
    <w:rsid w:val="007447F3"/>
    <w:rsid w:val="00747A6D"/>
    <w:rsid w:val="00747EED"/>
    <w:rsid w:val="0075499F"/>
    <w:rsid w:val="0075552F"/>
    <w:rsid w:val="007661C8"/>
    <w:rsid w:val="00770206"/>
    <w:rsid w:val="0077098D"/>
    <w:rsid w:val="007931FA"/>
    <w:rsid w:val="00797C5E"/>
    <w:rsid w:val="007A4861"/>
    <w:rsid w:val="007A7BBA"/>
    <w:rsid w:val="007B0C50"/>
    <w:rsid w:val="007B43AC"/>
    <w:rsid w:val="007B48F9"/>
    <w:rsid w:val="007B5583"/>
    <w:rsid w:val="007C1A43"/>
    <w:rsid w:val="007D0951"/>
    <w:rsid w:val="007D5708"/>
    <w:rsid w:val="007E21E5"/>
    <w:rsid w:val="007E5CA2"/>
    <w:rsid w:val="007F2B0A"/>
    <w:rsid w:val="0080013E"/>
    <w:rsid w:val="00801369"/>
    <w:rsid w:val="00813288"/>
    <w:rsid w:val="008168FC"/>
    <w:rsid w:val="00816E92"/>
    <w:rsid w:val="00830996"/>
    <w:rsid w:val="008345F1"/>
    <w:rsid w:val="00843EAC"/>
    <w:rsid w:val="008473F4"/>
    <w:rsid w:val="00857389"/>
    <w:rsid w:val="00865B07"/>
    <w:rsid w:val="008667EA"/>
    <w:rsid w:val="00867641"/>
    <w:rsid w:val="00875AB4"/>
    <w:rsid w:val="0087637F"/>
    <w:rsid w:val="00882CB6"/>
    <w:rsid w:val="00892AD5"/>
    <w:rsid w:val="008970B9"/>
    <w:rsid w:val="00897815"/>
    <w:rsid w:val="008A1512"/>
    <w:rsid w:val="008B6C9F"/>
    <w:rsid w:val="008B7C03"/>
    <w:rsid w:val="008C3A5B"/>
    <w:rsid w:val="008D32B9"/>
    <w:rsid w:val="008D433B"/>
    <w:rsid w:val="008D4A16"/>
    <w:rsid w:val="008E566E"/>
    <w:rsid w:val="008F622E"/>
    <w:rsid w:val="008F7371"/>
    <w:rsid w:val="00900578"/>
    <w:rsid w:val="0090161A"/>
    <w:rsid w:val="00901EB6"/>
    <w:rsid w:val="00904C62"/>
    <w:rsid w:val="00917C12"/>
    <w:rsid w:val="00922BA8"/>
    <w:rsid w:val="00924DAC"/>
    <w:rsid w:val="00927058"/>
    <w:rsid w:val="00931275"/>
    <w:rsid w:val="00942750"/>
    <w:rsid w:val="009450CE"/>
    <w:rsid w:val="009459BB"/>
    <w:rsid w:val="00947179"/>
    <w:rsid w:val="0095164B"/>
    <w:rsid w:val="00954090"/>
    <w:rsid w:val="009573E7"/>
    <w:rsid w:val="00963E05"/>
    <w:rsid w:val="00964A45"/>
    <w:rsid w:val="00967843"/>
    <w:rsid w:val="00967D54"/>
    <w:rsid w:val="00971028"/>
    <w:rsid w:val="00982EAE"/>
    <w:rsid w:val="009848A3"/>
    <w:rsid w:val="00985B5C"/>
    <w:rsid w:val="00993B84"/>
    <w:rsid w:val="00994FF8"/>
    <w:rsid w:val="00996483"/>
    <w:rsid w:val="00996F5A"/>
    <w:rsid w:val="009A177B"/>
    <w:rsid w:val="009B041A"/>
    <w:rsid w:val="009B33D2"/>
    <w:rsid w:val="009B70F0"/>
    <w:rsid w:val="009C245C"/>
    <w:rsid w:val="009C37C3"/>
    <w:rsid w:val="009C7C86"/>
    <w:rsid w:val="009D2FF7"/>
    <w:rsid w:val="009D4FD4"/>
    <w:rsid w:val="009E7884"/>
    <w:rsid w:val="009E788A"/>
    <w:rsid w:val="009F0E08"/>
    <w:rsid w:val="009F30F1"/>
    <w:rsid w:val="009F7AAA"/>
    <w:rsid w:val="00A16D6A"/>
    <w:rsid w:val="00A1763D"/>
    <w:rsid w:val="00A17CEC"/>
    <w:rsid w:val="00A27EF0"/>
    <w:rsid w:val="00A42361"/>
    <w:rsid w:val="00A45D49"/>
    <w:rsid w:val="00A50B20"/>
    <w:rsid w:val="00A51390"/>
    <w:rsid w:val="00A517A7"/>
    <w:rsid w:val="00A60D13"/>
    <w:rsid w:val="00A6142E"/>
    <w:rsid w:val="00A62E4B"/>
    <w:rsid w:val="00A7223D"/>
    <w:rsid w:val="00A72745"/>
    <w:rsid w:val="00A76EFC"/>
    <w:rsid w:val="00A87D50"/>
    <w:rsid w:val="00A91010"/>
    <w:rsid w:val="00A9111B"/>
    <w:rsid w:val="00A97F29"/>
    <w:rsid w:val="00AA070B"/>
    <w:rsid w:val="00AA702E"/>
    <w:rsid w:val="00AA7D26"/>
    <w:rsid w:val="00AB0469"/>
    <w:rsid w:val="00AB0964"/>
    <w:rsid w:val="00AB5011"/>
    <w:rsid w:val="00AC1733"/>
    <w:rsid w:val="00AC7368"/>
    <w:rsid w:val="00AD16B9"/>
    <w:rsid w:val="00AE0405"/>
    <w:rsid w:val="00AE1668"/>
    <w:rsid w:val="00AE377D"/>
    <w:rsid w:val="00AF0EBA"/>
    <w:rsid w:val="00B02C8A"/>
    <w:rsid w:val="00B03035"/>
    <w:rsid w:val="00B17FBD"/>
    <w:rsid w:val="00B303B1"/>
    <w:rsid w:val="00B315A6"/>
    <w:rsid w:val="00B31813"/>
    <w:rsid w:val="00B33365"/>
    <w:rsid w:val="00B33F5A"/>
    <w:rsid w:val="00B421A2"/>
    <w:rsid w:val="00B423BD"/>
    <w:rsid w:val="00B42DD1"/>
    <w:rsid w:val="00B47BE0"/>
    <w:rsid w:val="00B57B36"/>
    <w:rsid w:val="00B57E6F"/>
    <w:rsid w:val="00B753E8"/>
    <w:rsid w:val="00B83C55"/>
    <w:rsid w:val="00B8686D"/>
    <w:rsid w:val="00B933AC"/>
    <w:rsid w:val="00B9343A"/>
    <w:rsid w:val="00B93F69"/>
    <w:rsid w:val="00BA3678"/>
    <w:rsid w:val="00BB1DDC"/>
    <w:rsid w:val="00BC30C9"/>
    <w:rsid w:val="00BD077D"/>
    <w:rsid w:val="00BD347A"/>
    <w:rsid w:val="00BD6B81"/>
    <w:rsid w:val="00BE3E58"/>
    <w:rsid w:val="00C01616"/>
    <w:rsid w:val="00C0162B"/>
    <w:rsid w:val="00C068ED"/>
    <w:rsid w:val="00C06A34"/>
    <w:rsid w:val="00C22E0C"/>
    <w:rsid w:val="00C2755A"/>
    <w:rsid w:val="00C2775C"/>
    <w:rsid w:val="00C345B1"/>
    <w:rsid w:val="00C35E27"/>
    <w:rsid w:val="00C40142"/>
    <w:rsid w:val="00C40484"/>
    <w:rsid w:val="00C508AF"/>
    <w:rsid w:val="00C52C3C"/>
    <w:rsid w:val="00C57182"/>
    <w:rsid w:val="00C57863"/>
    <w:rsid w:val="00C640AF"/>
    <w:rsid w:val="00C655FD"/>
    <w:rsid w:val="00C737D1"/>
    <w:rsid w:val="00C75407"/>
    <w:rsid w:val="00C870A8"/>
    <w:rsid w:val="00C94434"/>
    <w:rsid w:val="00CA0062"/>
    <w:rsid w:val="00CA0D4A"/>
    <w:rsid w:val="00CA0D75"/>
    <w:rsid w:val="00CA1C95"/>
    <w:rsid w:val="00CA5A9C"/>
    <w:rsid w:val="00CA7E18"/>
    <w:rsid w:val="00CC4C20"/>
    <w:rsid w:val="00CC5887"/>
    <w:rsid w:val="00CC5DE3"/>
    <w:rsid w:val="00CD3517"/>
    <w:rsid w:val="00CD5389"/>
    <w:rsid w:val="00CD5FE2"/>
    <w:rsid w:val="00CE7C68"/>
    <w:rsid w:val="00CF24F8"/>
    <w:rsid w:val="00CF71A3"/>
    <w:rsid w:val="00D01880"/>
    <w:rsid w:val="00D02B4C"/>
    <w:rsid w:val="00D02BD6"/>
    <w:rsid w:val="00D040C4"/>
    <w:rsid w:val="00D06FB4"/>
    <w:rsid w:val="00D07C35"/>
    <w:rsid w:val="00D17ED1"/>
    <w:rsid w:val="00D20AD1"/>
    <w:rsid w:val="00D3396B"/>
    <w:rsid w:val="00D41907"/>
    <w:rsid w:val="00D43188"/>
    <w:rsid w:val="00D43287"/>
    <w:rsid w:val="00D46B7E"/>
    <w:rsid w:val="00D57C84"/>
    <w:rsid w:val="00D6057D"/>
    <w:rsid w:val="00D62E91"/>
    <w:rsid w:val="00D638A1"/>
    <w:rsid w:val="00D648EC"/>
    <w:rsid w:val="00D71640"/>
    <w:rsid w:val="00D80DC6"/>
    <w:rsid w:val="00D836C5"/>
    <w:rsid w:val="00D84576"/>
    <w:rsid w:val="00D85A4F"/>
    <w:rsid w:val="00DA1399"/>
    <w:rsid w:val="00DA24C6"/>
    <w:rsid w:val="00DA4D7B"/>
    <w:rsid w:val="00DB08E6"/>
    <w:rsid w:val="00DB67AE"/>
    <w:rsid w:val="00DD271C"/>
    <w:rsid w:val="00DE264A"/>
    <w:rsid w:val="00DF2695"/>
    <w:rsid w:val="00DF5072"/>
    <w:rsid w:val="00E02D18"/>
    <w:rsid w:val="00E041E7"/>
    <w:rsid w:val="00E122D8"/>
    <w:rsid w:val="00E16E44"/>
    <w:rsid w:val="00E23CA1"/>
    <w:rsid w:val="00E30F26"/>
    <w:rsid w:val="00E33DD7"/>
    <w:rsid w:val="00E409A8"/>
    <w:rsid w:val="00E50C12"/>
    <w:rsid w:val="00E60145"/>
    <w:rsid w:val="00E65B91"/>
    <w:rsid w:val="00E7209D"/>
    <w:rsid w:val="00E72EAD"/>
    <w:rsid w:val="00E74E31"/>
    <w:rsid w:val="00E77223"/>
    <w:rsid w:val="00E83819"/>
    <w:rsid w:val="00E8528B"/>
    <w:rsid w:val="00E85B94"/>
    <w:rsid w:val="00E978D0"/>
    <w:rsid w:val="00EA4613"/>
    <w:rsid w:val="00EA5E4A"/>
    <w:rsid w:val="00EA7F91"/>
    <w:rsid w:val="00EB122E"/>
    <w:rsid w:val="00EB1523"/>
    <w:rsid w:val="00EC0E49"/>
    <w:rsid w:val="00EC101F"/>
    <w:rsid w:val="00EC1D9F"/>
    <w:rsid w:val="00ED3837"/>
    <w:rsid w:val="00EE0131"/>
    <w:rsid w:val="00EE17B0"/>
    <w:rsid w:val="00EF06D9"/>
    <w:rsid w:val="00F05D60"/>
    <w:rsid w:val="00F2023C"/>
    <w:rsid w:val="00F26100"/>
    <w:rsid w:val="00F3049E"/>
    <w:rsid w:val="00F308F7"/>
    <w:rsid w:val="00F30C64"/>
    <w:rsid w:val="00F32BA2"/>
    <w:rsid w:val="00F32CDB"/>
    <w:rsid w:val="00F43AA7"/>
    <w:rsid w:val="00F4605E"/>
    <w:rsid w:val="00F56372"/>
    <w:rsid w:val="00F565FE"/>
    <w:rsid w:val="00F63A70"/>
    <w:rsid w:val="00F63D8C"/>
    <w:rsid w:val="00F7534E"/>
    <w:rsid w:val="00F77FEC"/>
    <w:rsid w:val="00F92B14"/>
    <w:rsid w:val="00F93EDF"/>
    <w:rsid w:val="00F941E7"/>
    <w:rsid w:val="00FA1802"/>
    <w:rsid w:val="00FA21D0"/>
    <w:rsid w:val="00FA5F5F"/>
    <w:rsid w:val="00FB730C"/>
    <w:rsid w:val="00FB793D"/>
    <w:rsid w:val="00FC25A9"/>
    <w:rsid w:val="00FC2695"/>
    <w:rsid w:val="00FC3E03"/>
    <w:rsid w:val="00FC3FC1"/>
    <w:rsid w:val="00FC6C5E"/>
    <w:rsid w:val="00FD1366"/>
    <w:rsid w:val="00FD39D1"/>
    <w:rsid w:val="00FE13A7"/>
    <w:rsid w:val="00FF53E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US"/>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BD347A"/>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48053F"/>
    <w:rPr>
      <w:color w:val="605E5C"/>
      <w:shd w:val="clear" w:color="auto" w:fill="E1DFDD"/>
    </w:rPr>
  </w:style>
  <w:style w:type="character" w:customStyle="1" w:styleId="pureblacktext">
    <w:name w:val="pureblacktext"/>
    <w:basedOn w:val="Carpredefinitoparagrafo"/>
    <w:rsid w:val="00A517A7"/>
  </w:style>
  <w:style w:type="character" w:customStyle="1" w:styleId="anchor-text">
    <w:name w:val="anchor-text"/>
    <w:basedOn w:val="Carpredefinitoparagrafo"/>
    <w:rsid w:val="00021B6B"/>
  </w:style>
  <w:style w:type="character" w:styleId="Collegamentovisitato">
    <w:name w:val="FollowedHyperlink"/>
    <w:basedOn w:val="Carpredefinitoparagrafo"/>
    <w:uiPriority w:val="99"/>
    <w:semiHidden/>
    <w:unhideWhenUsed/>
    <w:rsid w:val="002A3E4C"/>
    <w:rPr>
      <w:color w:val="800080" w:themeColor="followedHyperlink"/>
      <w:u w:val="single"/>
    </w:rPr>
  </w:style>
  <w:style w:type="character" w:customStyle="1" w:styleId="italic">
    <w:name w:val="italic"/>
    <w:basedOn w:val="Carpredefinitoparagrafo"/>
    <w:rsid w:val="00816E92"/>
  </w:style>
  <w:style w:type="paragraph" w:customStyle="1" w:styleId="MDPI31text">
    <w:name w:val="MDPI_3.1_text"/>
    <w:qFormat/>
    <w:rsid w:val="00205E00"/>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character" w:styleId="Enfasicorsivo">
    <w:name w:val="Emphasis"/>
    <w:basedOn w:val="Carpredefinitoparagrafo"/>
    <w:uiPriority w:val="20"/>
    <w:qFormat/>
    <w:rsid w:val="006D0479"/>
    <w:rPr>
      <w:i/>
      <w:iCs/>
    </w:rPr>
  </w:style>
  <w:style w:type="paragraph" w:customStyle="1" w:styleId="MDPI41tablecaption">
    <w:name w:val="MDPI_4.1_table_caption"/>
    <w:qFormat/>
    <w:rsid w:val="008970B9"/>
    <w:pPr>
      <w:adjustRightInd w:val="0"/>
      <w:snapToGrid w:val="0"/>
      <w:spacing w:before="240" w:after="120" w:line="228" w:lineRule="auto"/>
      <w:ind w:left="2608"/>
    </w:pPr>
    <w:rPr>
      <w:rFonts w:ascii="Palatino Linotype" w:eastAsia="Times New Roman" w:hAnsi="Palatino Linotype" w:cs="Cordia New"/>
      <w:color w:val="000000"/>
      <w:sz w:val="18"/>
      <w:lang w:val="en-US" w:eastAsia="de-DE" w:bidi="en-US"/>
    </w:rPr>
  </w:style>
  <w:style w:type="paragraph" w:customStyle="1" w:styleId="MDPI42tablebody">
    <w:name w:val="MDPI_4.2_table_body"/>
    <w:qFormat/>
    <w:rsid w:val="008970B9"/>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021">
      <w:bodyDiv w:val="1"/>
      <w:marLeft w:val="0"/>
      <w:marRight w:val="0"/>
      <w:marTop w:val="0"/>
      <w:marBottom w:val="0"/>
      <w:divBdr>
        <w:top w:val="none" w:sz="0" w:space="0" w:color="auto"/>
        <w:left w:val="none" w:sz="0" w:space="0" w:color="auto"/>
        <w:bottom w:val="none" w:sz="0" w:space="0" w:color="auto"/>
        <w:right w:val="none" w:sz="0" w:space="0" w:color="auto"/>
      </w:divBdr>
      <w:divsChild>
        <w:div w:id="1981224474">
          <w:marLeft w:val="0"/>
          <w:marRight w:val="0"/>
          <w:marTop w:val="0"/>
          <w:marBottom w:val="120"/>
          <w:divBdr>
            <w:top w:val="none" w:sz="0" w:space="0" w:color="auto"/>
            <w:left w:val="none" w:sz="0" w:space="0" w:color="auto"/>
            <w:bottom w:val="none" w:sz="0" w:space="0" w:color="auto"/>
            <w:right w:val="none" w:sz="0" w:space="0" w:color="auto"/>
          </w:divBdr>
          <w:divsChild>
            <w:div w:id="559437920">
              <w:marLeft w:val="0"/>
              <w:marRight w:val="0"/>
              <w:marTop w:val="0"/>
              <w:marBottom w:val="0"/>
              <w:divBdr>
                <w:top w:val="none" w:sz="0" w:space="0" w:color="auto"/>
                <w:left w:val="none" w:sz="0" w:space="0" w:color="auto"/>
                <w:bottom w:val="none" w:sz="0" w:space="0" w:color="auto"/>
                <w:right w:val="none" w:sz="0" w:space="0" w:color="auto"/>
              </w:divBdr>
              <w:divsChild>
                <w:div w:id="287586082">
                  <w:marLeft w:val="0"/>
                  <w:marRight w:val="0"/>
                  <w:marTop w:val="0"/>
                  <w:marBottom w:val="0"/>
                  <w:divBdr>
                    <w:top w:val="none" w:sz="0" w:space="0" w:color="auto"/>
                    <w:left w:val="none" w:sz="0" w:space="0" w:color="auto"/>
                    <w:bottom w:val="none" w:sz="0" w:space="0" w:color="auto"/>
                    <w:right w:val="none" w:sz="0" w:space="0" w:color="auto"/>
                  </w:divBdr>
                  <w:divsChild>
                    <w:div w:id="135387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50397">
      <w:bodyDiv w:val="1"/>
      <w:marLeft w:val="0"/>
      <w:marRight w:val="0"/>
      <w:marTop w:val="0"/>
      <w:marBottom w:val="0"/>
      <w:divBdr>
        <w:top w:val="none" w:sz="0" w:space="0" w:color="auto"/>
        <w:left w:val="none" w:sz="0" w:space="0" w:color="auto"/>
        <w:bottom w:val="none" w:sz="0" w:space="0" w:color="auto"/>
        <w:right w:val="none" w:sz="0" w:space="0" w:color="auto"/>
      </w:divBdr>
    </w:div>
    <w:div w:id="22167538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179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0380768.2021.1945403" TargetMode="External"/><Relationship Id="rId18" Type="http://schemas.openxmlformats.org/officeDocument/2006/relationships/hyperlink" Target="http://doi.org/10.1002/1521-3773(20020902)41:17%3c3130::AID-ANIE3130%3e3.0.CO;2-1" TargetMode="External"/><Relationship Id="rId26" Type="http://schemas.openxmlformats.org/officeDocument/2006/relationships/hyperlink" Target="https://doi.org/10.1039/C9CS00653B" TargetMode="External"/><Relationship Id="rId39" Type="http://schemas.openxmlformats.org/officeDocument/2006/relationships/hyperlink" Target="https://doi.org/10.1080/01904167.2018.1433836" TargetMode="External"/><Relationship Id="rId21" Type="http://schemas.openxmlformats.org/officeDocument/2006/relationships/hyperlink" Target="https://doi.org/10.1007/978-3-319-10635-9" TargetMode="External"/><Relationship Id="rId34" Type="http://schemas.openxmlformats.org/officeDocument/2006/relationships/hyperlink" Target="http://doi.org/10.1021/acs.jafc.3c04735" TargetMode="External"/><Relationship Id="rId42" Type="http://schemas.openxmlformats.org/officeDocument/2006/relationships/hyperlink" Target="https://data.worldbank.org/indicator/NV.AGR.TOTL.ZS"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chemosphere.2021.132533" TargetMode="External"/><Relationship Id="rId29" Type="http://schemas.openxmlformats.org/officeDocument/2006/relationships/hyperlink" Target="https://doi.org/10.1038/s41565-019-047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1021/acs.est.1c00901" TargetMode="External"/><Relationship Id="rId32" Type="http://schemas.openxmlformats.org/officeDocument/2006/relationships/hyperlink" Target="https://doi.org/10.1021/acsagscitech.1c00244" TargetMode="External"/><Relationship Id="rId37" Type="http://schemas.openxmlformats.org/officeDocument/2006/relationships/hyperlink" Target="https://doi.org/10.1039/D0EN00974A" TargetMode="External"/><Relationship Id="rId40" Type="http://schemas.openxmlformats.org/officeDocument/2006/relationships/hyperlink" Target="https://doi.org/10.1021/acssuschemeng.7b03600"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38/s41477-022-01247-2" TargetMode="External"/><Relationship Id="rId23" Type="http://schemas.openxmlformats.org/officeDocument/2006/relationships/hyperlink" Target="https://doi.org/10.1038/s43016-019-0001-5" TargetMode="External"/><Relationship Id="rId28" Type="http://schemas.openxmlformats.org/officeDocument/2006/relationships/hyperlink" Target="https://doi.org/10.1007/s10482-020-01409-2" TargetMode="External"/><Relationship Id="rId36" Type="http://schemas.openxmlformats.org/officeDocument/2006/relationships/hyperlink" Target="https://doi.org/10.1038/s41586-018-0594-0" TargetMode="External"/><Relationship Id="rId10" Type="http://schemas.openxmlformats.org/officeDocument/2006/relationships/hyperlink" Target="mailto:luca.marchiol@uniud.it" TargetMode="External"/><Relationship Id="rId19" Type="http://schemas.openxmlformats.org/officeDocument/2006/relationships/hyperlink" Target="https://doi.org/10.3390/agronomy11061239" TargetMode="External"/><Relationship Id="rId31" Type="http://schemas.openxmlformats.org/officeDocument/2006/relationships/hyperlink" Target="http://doi.org/10.1016/j.heliyon.2022.e09144"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38/s41467-020-18326-7" TargetMode="External"/><Relationship Id="rId22" Type="http://schemas.openxmlformats.org/officeDocument/2006/relationships/hyperlink" Target="https://doi.org/10.1038/s41565-019-0439-5" TargetMode="External"/><Relationship Id="rId27" Type="http://schemas.openxmlformats.org/officeDocument/2006/relationships/hyperlink" Target="https://doi.org/10.1016/j.heliyon.2019.e01588" TargetMode="External"/><Relationship Id="rId30" Type="http://schemas.openxmlformats.org/officeDocument/2006/relationships/hyperlink" Target="https://org.doi:10.1787/1112c23b-en" TargetMode="External"/><Relationship Id="rId35" Type="http://schemas.openxmlformats.org/officeDocument/2006/relationships/hyperlink" Target="https://doi.org/10.1021/acssuschemeng.8b03457" TargetMode="External"/><Relationship Id="rId43" Type="http://schemas.openxmlformats.org/officeDocument/2006/relationships/hyperlink" Target="https://doi.org/10.3389/fmicb.2022.892533"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doi.org/10.1038/s41598-021-83048-9" TargetMode="External"/><Relationship Id="rId25" Type="http://schemas.openxmlformats.org/officeDocument/2006/relationships/hyperlink" Target="https://doi.org/10.1039/D3SU90040A" TargetMode="External"/><Relationship Id="rId33" Type="http://schemas.openxmlformats.org/officeDocument/2006/relationships/hyperlink" Target="https://doi.org/10.3390/nano10061043" TargetMode="External"/><Relationship Id="rId38" Type="http://schemas.openxmlformats.org/officeDocument/2006/relationships/hyperlink" Target="http://doi.org/10.1002/smll.202206954" TargetMode="External"/><Relationship Id="rId46" Type="http://schemas.openxmlformats.org/officeDocument/2006/relationships/fontTable" Target="fontTable.xml"/><Relationship Id="rId20" Type="http://schemas.openxmlformats.org/officeDocument/2006/relationships/hyperlink" Target="https://doi.org/10.1086/714444" TargetMode="External"/><Relationship Id="rId41" Type="http://schemas.openxmlformats.org/officeDocument/2006/relationships/hyperlink" Target="https://doi.org/10.1016/j.scitotenv.2020.13777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4083</Words>
  <Characters>23275</Characters>
  <Application>Microsoft Office Word</Application>
  <DocSecurity>0</DocSecurity>
  <Lines>193</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Pilotto Laura</cp:lastModifiedBy>
  <cp:revision>2</cp:revision>
  <cp:lastPrinted>2015-05-12T18:31:00Z</cp:lastPrinted>
  <dcterms:created xsi:type="dcterms:W3CDTF">2024-04-15T09:17:00Z</dcterms:created>
  <dcterms:modified xsi:type="dcterms:W3CDTF">2024-04-15T09:17:00Z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60437492d2fbcf3e39a78f1e16630b99504e2494419f68bc67848be545a1d80d</vt:lpwstr>
  </property>
</Properties>
</file>